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1340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Приложение № 3 к протоколу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11340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заседания Управляющего совета 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11340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государственной программы «Экономическое развитие Оренбургской области»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11340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от___________№__________   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left="11057"/>
        <w:spacing w:after="0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720"/>
        <w:jc w:val="center"/>
        <w:spacing w:after="0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  <w:t xml:space="preserve">Перечень мероприятий (результатов), направленных на реализацию задач структурных элементов государственной программы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</w:r>
    </w:p>
    <w:tbl>
      <w:tblPr>
        <w:tblW w:w="16126" w:type="dxa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7"/>
        <w:gridCol w:w="2279"/>
        <w:gridCol w:w="3281"/>
        <w:gridCol w:w="965"/>
        <w:gridCol w:w="843"/>
        <w:gridCol w:w="943"/>
        <w:gridCol w:w="980"/>
        <w:gridCol w:w="730"/>
        <w:gridCol w:w="680"/>
        <w:gridCol w:w="680"/>
        <w:gridCol w:w="680"/>
        <w:gridCol w:w="680"/>
        <w:gridCol w:w="786"/>
        <w:gridCol w:w="1562"/>
        <w:gridCol w:w="50"/>
        <w:gridCol w:w="630"/>
      </w:tblGrid>
      <w:tr>
        <w:tblPrEx/>
        <w:trPr>
          <w:gridAfter w:val="2"/>
          <w:trHeight w:val="76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Наименование мероприятия (результата)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2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Характеристика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Базовое значение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gridSpan w:val="8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6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Значения мероприятия (результата) по годам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left="44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Связь с иными государственными программами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6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2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2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2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16"/>
        </w:trPr>
        <w:tc>
          <w:tcPr>
            <w:gridSpan w:val="13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3884" w:type="dxa"/>
            <w:textDirection w:val="lrTb"/>
            <w:noWrap w:val="false"/>
          </w:tcPr>
          <w:p>
            <w:pPr>
              <w:ind w:left="11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Региональный проект 1  «Адресная поддержка повышения производительности труда на предприятиях»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28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Предприятиям предоставлена возможность по внедрению лучших практик (типовых решений) и получению услуг по повышению производительности труда посредством специализированных центров компетенций на федеральном и региональном уровне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167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5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«Реализованы проекты по повышению производительности труда на предприятиях-участниках национального проекта по направлению «Бережливое производство» с помощью созданной региональной инфраструктуры обеспечения повышения производительности труда.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20"/>
              <w:ind w:left="157"/>
              <w:spacing w:before="0" w:beforeAutospacing="0" w:after="0" w:afterAutospacing="0"/>
              <w:shd w:val="clear" w:color="auto" w:fill="ffffff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Созданы региональные центры компетенций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для возможности тиражирования положительного опыта и подходов по повышению производительности труда на региональном уровне.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Создана «фабрика процессов», представляющая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Экспертами РЦК реализованы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проекты по повышению производительности труда на предприятиях-участниках национального проекта.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Сотрудники предприятий-участников национального проекта под региональным управлением (совместно с экспертами РЦК) прошли обучение по программе повышения производительности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условная единица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1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66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4"/>
                <w:highlight w:val="none"/>
                <w:lang w:eastAsia="ru-RU"/>
              </w:rPr>
              <w:t xml:space="preserve">Региональный проект 2 «Производительност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4"/>
                <w:highlight w:val="none"/>
                <w:lang w:eastAsia="ru-RU"/>
              </w:rPr>
              <w:t xml:space="preserve">ь</w:t>
            </w:r>
            <w:bookmarkStart w:id="0" w:name="_GoBack"/>
            <w:r>
              <w:rPr>
                <w:color w:val="000000" w:themeColor="text1"/>
                <w:highlight w:val="none"/>
              </w:rPr>
            </w:r>
            <w:bookmarkEnd w:id="0"/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4"/>
                <w:highlight w:val="none"/>
                <w:lang w:eastAsia="ru-RU"/>
              </w:rPr>
              <w:t xml:space="preserve"> труда»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95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Обеспечено повышение производительности труда на средних и крупных предприятиях базовых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несырьевых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2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5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«Реализованы проекты по повышению производительности труда по направлению «Бережливое производство» с помощью созданной региональной инфраструктуры обеспечения повышения производительности труда на предприятиях-участниках федерального проекта»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1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Обеспечена деяте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льность региональных центров компетенций в сфере производительности труда в целях реализации проектов по повышению производительности труда на предприятиях-участниках федерального проекта «Производительность труда». Проекты по повышению производительности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труда, создание и обеспечение деятельности региональных центров компетенций и «фабрик процессов» реализуются в соответствии с методиками, утверждёнными автономной некоммерческой организацией «Федеральный центр компетенций в сфере производительности труда».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2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5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«Вовлечены предприятия базовых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несырьевых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отраслей экономики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реализации проектов по повышению производительности труда»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1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Обеспечено вовлечение предприятий базовых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несырьевых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отраслей экономики для реализации проектов по повышению производительности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труда. Субъектами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заключены с предприятиями соглашения о взаимодействии в целях реализации проектов по повышению производительности труда с помощью ФЦК и/или РЦК. Вовлечение и отбор предприятий осуществляется в соответствии с методическими рекомендациями, утвержденными ФЦК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contextualSpacing w:val="0"/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color w:val="0070c0"/>
                <w:spacing w:val="-11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contextualSpacing w:val="0"/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color w:val="0070c0"/>
                <w:spacing w:val="-11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contextualSpacing w:val="0"/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70c0"/>
                <w:spacing w:val="-11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contextualSpacing w:val="0"/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color w:val="0070c0"/>
                <w:spacing w:val="-11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contextualSpacing w:val="0"/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color w:val="0070c0"/>
                <w:spacing w:val="-11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22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30" w:right="85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4"/>
                <w:highlight w:val="none"/>
                <w:lang w:eastAsia="ru-RU"/>
              </w:rPr>
              <w:t xml:space="preserve">Региональный проект 3 «Малое и среднее предпринимательство и поддержка индивидуальной предпринимательской инициативы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4"/>
                <w:highlight w:val="none"/>
                <w:lang w:eastAsia="ru-RU"/>
              </w:rPr>
              <w:t xml:space="preserve">(Оренбургская область)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4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01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 w:firstLine="11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Расширен доступ к финансовым ресурсам субъектов МСП в приоритетных отраслях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167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5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right="90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right="-8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Фондами содействия кредитованию (гарантийными фондами, фондами поручительств) ежегодно предоставляются поручительства (независимые гарантии) субъектам малого и среднего предпринимательства для обеспечения привлечения финансовых ресурсов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миллиард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right="-87" w:firstLine="1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1,8900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  <w:p>
            <w:pPr>
              <w:ind w:right="-87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right="-87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right="-87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1,3900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1,4000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1,4100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1,4200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1,4200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1,4200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167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5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90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9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среднего предпринимательства обеспечен льготный доступ к заемным средствам государственных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организаций»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Государственными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микрофинансовыми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организациями ежегодно предоставляется финансовая поддержка субъектам малого и среднего предпринимательства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миллион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112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659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,0000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contextualSpacing w:val="0"/>
              <w:jc w:val="center"/>
              <w:spacing w:line="230" w:lineRule="auto"/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t xml:space="preserve">441,1000</w:t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contextualSpacing w:val="0"/>
              <w:jc w:val="center"/>
              <w:spacing w:line="230" w:lineRule="auto"/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t xml:space="preserve">439,7000</w:t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contextualSpacing w:val="0"/>
              <w:jc w:val="center"/>
              <w:spacing w:line="230" w:lineRule="auto"/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t xml:space="preserve">446,0000</w:t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contextualSpacing w:val="0"/>
              <w:jc w:val="center"/>
              <w:spacing w:line="230" w:lineRule="auto"/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t xml:space="preserve">445,6000</w:t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contextualSpacing w:val="0"/>
              <w:jc w:val="center"/>
              <w:spacing w:line="230" w:lineRule="auto"/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t xml:space="preserve">445,6000</w:t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contextualSpacing w:val="0"/>
              <w:jc w:val="center"/>
              <w:spacing w:line="230" w:lineRule="auto"/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  <w:t xml:space="preserve">445,6000</w:t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pacing w:val="-17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6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4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Увеличен охват субъектов МСП услугами и мерами инфраструктуры поддержки субъектов МСП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167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5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90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9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Инфраструктурой поддержки малого и среднего предпринимательства ежегодно предоставляются услуги и меры поддержки субъектам МСП и гражданам, желающим вести бизнес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4,5000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0,8820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0,8820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0,8820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0,8820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0,8820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0,8820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 w:firstLine="112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11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Региональный проект 4 «Акселерация субъектов малого и среднего предпринимательства»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84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Создана комплексная система акселерации, включающая в себя финансовые и налоговые инструменты поддержки субъектов МСП, а также инфраструктуру для комфортной работы и развития субъектов МСП, доступ к закупкам крупнейших заказчиков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4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«Субъектам малого и среднего предпринимательства обеспечен льготный доступ к заемным средствам государственных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микрофинансовых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организаций (количество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действующих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микрозаймов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выданных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микрофинансовой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организацией)»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Государственными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микрофинансовым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 организациями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обеспечено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предоставление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льготных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финансовых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ресурсов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0,411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0,404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0,404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11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after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pStyle w:val="922"/>
              <w:ind w:left="63"/>
              <w:spacing w:before="0" w:beforeAutospacing="0" w:after="0" w:afterAutospacing="0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pStyle w:val="922"/>
              <w:ind w:left="63"/>
              <w:spacing w:before="0" w:beforeAutospacing="0" w:after="0" w:afterAutospacing="0"/>
              <w:widowControl w:val="off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«Субъектами малого и среднего предпринимательства обеспечено привлечение финансирования за счет поручительств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(независимых гарантий) региональных гарантийных организаций»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Региональными гарантийными организациями обеспечено гарантирование финансовых обязательств субъектов МСП, в том числе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монопрофильных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муниципальных образованиях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миллион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776,8524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1118,7201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1326,0500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4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«Субъектам малого и среднего предпр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инимательства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(количество субъектов малого и среднего предпринимательства, получивших комплексные услуги)»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Организована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работа Центра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«Мой бизнес».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Информирование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консультирование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граждан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субъектов МСП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мерах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господдержки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0,577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0,693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0,831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4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«Ежегодный объем экспорта субъектов МСП, получивших поддержку центров поддержки экспорта»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Субъектами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СП-экспортерами обеспечен объем экспорта в объеме не менее 12,6 млн долл. США в 2024 году (по курсу Центрального банка Российской Федерации, действующему на дату заключения экспортного контракта) при поддержке Центра поддержки экспорта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миллиард долларов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0,0169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0143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0,0126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4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«Субъектами малого и среднего предпринимательства осуществлен экспорт товаров (работ, услуг) при поддержке центров поддержки экспорта (количество субъектов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малого и среднего предпринимательства -экспортеров, заключивших экспортные контракты по результатам услуг центров поддержки экспорта)»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Реализация мероприятия по предоставлению субсидии на обеспечение деятельности ЦПЭ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19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Региональный проект 5 «Создание благоприятных условий для осуществления деятельности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самозанятыми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гражданами»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49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Созданы благоприятные условия для осуществления деятельности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самозанятыми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гражданами посредством применения нового режима налогообложения и предоставления мер поддержки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4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10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Самозанятым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гражданам обеспечено предоставление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по льготной ставке государственными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микрофинансовыми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организациями (объем выданных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ежегодно)»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Государственными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и организациями обеспечено предоставление финансовых ресурсов 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самозанятых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граждан по льготной ставке не превышающей 1,5 размера ключевой ставки Банка России, в размере до 1 млн. рублей сроком на 3 года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миллион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4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4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 w:right="10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10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Самозанятым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компетенций)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оффлайн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и онлайн форматах (количество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самозанятых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граждан, получивших услуги,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10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прошедших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10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программы обучения)»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Инфраструктурой поддержки субъектов МСП и федеральными институтами развития оказаны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информационноконсультационные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и образовательные услуги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самозанятым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гражданам (центрами компетенций)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оффлайн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и онлайн форматах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0,197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0,346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0,406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5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Региональный проект 6 «Создание условий для легкого старта и комфортного ведения бизнеса»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15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63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Созданы условия для легкого старта и комфортного ведения бизнеса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предакселерация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46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6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«Улучшены условия ведения предпринимательской деятельности для индивидуальных предпринимателей, применяющих патентную систему налогообложения (количество индивидуальных предпринимателей, применяющих патентную систему налогообложения)»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Внесены изменения в Закон Оренбургской области «О патентной системе налогообложения»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13,958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14,586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15,242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46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6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(объем финансовой поддержки, предоставленной начинающим предпринимателям (кредиты, лизинг, займы), обеспеченной поручительствами и независимыми гарантиями РГО)»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Региональными гарантийными организациями обеспечено предоставление поручительств и независимых гарантий для начинающих субъектов МСП, впервые зарегистрированных в качестве субъекта МСП и осуществляющих деятельность менее 1 года, на льготных условиях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миллиард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0,0284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0,0297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0,031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46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6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«Начинающим предпринимателям предоставлены льготные финансовые ресурсы в виде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государственными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микрофинансовыми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организациями (ежегодно) (количество действующих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предоставленных начинающим предпринимателям)»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Государственными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микрофинансовыми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организациями обеспечено предоставление льготных финансовых ресурсов для начинающих субъектов МСП, впервые зарегистрированных в качестве субъекта МСП и осуществляющих деятельность менее  одного года.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46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6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офлайн- и онлайн-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форматах на единой пл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ощадке региональной инфраструктуры поддержки бизнеса по единым требованиям к оказанию поддержки, а также в федеральных институтах развития (количество уникальных граждан, желающих вести бизнес, начинающих и действующих предпринимателей, получивших услуги)»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Инфраструктурой поддержки субъектов МСП, иными организациями, оказывающими информационно-консультационные услуги субъектам МСП (центрами компетенций) и федеральными институтами развития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оффлайн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и онлайн форматах оказаны различные услуги гражданам, желающим осуществлять предпринимательскую деятельность, начинающим и действующим предпринимателям.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1,999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2,925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223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6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trike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цами в возрасте до 25 лет включительно, предоставлены комплекс услуг и (или) финансовая поддержка в виде грантов (количество уникальных социальных предприятий, включенных в реестр социальных предпринимателей, и (или) количество субъектов малого и среднего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предпринимательства, созданных физическими лицами в возрасте до 25 лет включительно, получивших комплекс услуг и (или) финансовую поддержку в виде грантов, накопленным итогом)»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Предоставлены субсидии бюджетам субъектов Российской Федерации на реализацию мероприятий по оказанию поддержки суб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ъектам МСП, являющихся социальными предпринимателями и (или) созданными физическими лицами в возрасте до 25 лет включительно. В 2024 году количество уникальных социальных предприятий и (или) субъектов МСП, созданных физическими лицами в возрасте до 25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ключительно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  получивших комплекс услуг и (или) финансовую поддержку в виде гранта, составит не менее чем 15,2 тыс. субъектов 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262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46" w:type="dxa"/>
            <w:textDirection w:val="lrTb"/>
            <w:noWrap w:val="false"/>
          </w:tcPr>
          <w:p>
            <w:pPr>
              <w:ind w:right="-87" w:firstLine="72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Региональный проект 7 «Системные меры развития международной кооперации и экспорта»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38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5446" w:type="dxa"/>
            <w:textDirection w:val="lrTb"/>
            <w:noWrap w:val="false"/>
          </w:tcPr>
          <w:p>
            <w:pPr>
              <w:ind w:left="99" w:right="-8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Реализуется комплекс институциональных мероприятий по популяризации и содействию развитию экспорта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9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9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«Региональный экспортный стандарт 2.0 внедрен в Оренбургской области»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Набор 15 специальных инструментов, способствующих вовлечению субъекта МСП в единую систему поддержки экспорта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 w:right="10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условная 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Региональный проект 8 «Системные меры развития международной кооперации и экспорта в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63" w:right="41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ffffff"/>
                <w:lang w:eastAsia="ru-RU"/>
              </w:rPr>
              <w:t xml:space="preserve"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9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9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«Региональный экспортный стандарт 2.0 внедрен в Оренбургской области»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 Оренбургской области внедрены инструменты Регионального экспортного стандарта, осуществляется заполнение в системе онлайн мониторинга внедрения инструментов РЭС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63" w:right="10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условная единица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left="63" w:right="4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Региональный проект 9 «Создание номерного фонда, инфраструктуры и новых точек притяжения»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За счет создания и развития современной и качественной туристской инфраструктуры в регионах увеличивается число новых поездок по России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«Реализованы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субъектами Российской Федерации 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рамках предоставления единой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субсидии из федерального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бюджетам субъектов Российской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ставлена(-ы) субсидия(-и) на реализацию мероприятий, предусмотренных в рамках направлений, утвержденных в государственной программе Российской Федерации «Развитие туризма», с учетом методических рекомендаций по организации в субъектах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деятельности в сфере развития туризма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highlight w:val="none"/>
                <w:lang w:eastAsia="ru-RU"/>
              </w:rPr>
              <w:t xml:space="preserve">,0000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70c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70c0"/>
                <w:highlight w:val="none"/>
              </w:rPr>
            </w:r>
            <w:r>
              <w:rPr>
                <w:color w:val="0070c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70c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70c0"/>
                <w:highlight w:val="none"/>
              </w:rPr>
            </w:r>
            <w:r>
              <w:rPr>
                <w:color w:val="0070c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Увеличено количество доступных номеров для размещения граждан в целях их обеспечения комфортными условиями для отдыха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«Обеспечено завершение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строительства (реконструкции)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объектов обеспечивающей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инфраструктуры с длительным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сроком окупаемости»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Завершено строительство объекта обеспечивающей инфраструктуры "Реконструкция очистных сооружений г. Соль-Илецка 2 очередь. (Биологическая очистка)»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0,0000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0,0000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70c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1,0000</w:t>
            </w:r>
            <w:r>
              <w:rPr>
                <w:color w:val="0070c0"/>
                <w:highlight w:val="none"/>
              </w:rPr>
            </w:r>
            <w:r>
              <w:rPr>
                <w:color w:val="0070c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70c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70c0"/>
                <w:highlight w:val="none"/>
              </w:rPr>
            </w:r>
            <w:r>
              <w:rPr>
                <w:color w:val="0070c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70c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70c0"/>
                <w:highlight w:val="none"/>
              </w:rPr>
            </w:r>
            <w:r>
              <w:rPr>
                <w:color w:val="0070c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70c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70c0"/>
                <w:highlight w:val="none"/>
              </w:rPr>
            </w:r>
            <w:r>
              <w:rPr>
                <w:color w:val="0070c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70c0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70c0"/>
                <w:highlight w:val="none"/>
              </w:rPr>
            </w:r>
            <w:r>
              <w:rPr>
                <w:color w:val="0070c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0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Региональный проект 10 «Развитие туристической инфраструктуры»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44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-8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Граждане обеспечены современной туристической инфраструктурой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68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«Обеспечена поддержка реализации общественных инициатив, направленных на развитие туристической инфраструктуры, в форме межбюджетных трансфертов (пляжи и национальные туристские маршруты)»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99" w:right="47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​Произведен отбор заявок юридических лиц и(или) индивидуальных предпринимате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лей, предоставлены гранты в форме субсидии по не менее чем 10 проектам, направленным на создание и (или) развитие пляжей на берегах морей, рек, озер, водохранилищ или иных водных объектов, а также создание и (или) развитие национальных туристских маршрутов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10 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151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none"/>
              </w:rPr>
              <w:t xml:space="preserve">Обеспечено выполнение работ по строительству (реконструкции) объектов обеспечивающей инфраструктуры с длительным сроком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none"/>
              </w:rPr>
              <w:t xml:space="preserve">окупаемости в 2024 году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99" w:right="47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Предоставление межбюджетного трансферта бюджету муниципального образования на обеспечение завершения строительно-монтажных работ объекта обеспечивающей инфраструктуры «Реконструкция очистных сооружений г. Соль-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Илецка 2 очередь. (Биологическая очистка)»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0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 w:firstLine="112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65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«Реализованы мероприятия субъектами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рамках предоставления единой субсидии из федерального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бюджета бюджетам субъектов Российской Федерации в целях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достижения показателя государственной программы «Число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туристских поездок»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99" w:right="47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Предоставлена(-ы) субсидия(-и) на реализац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ию мероприятий, предусмотренных в рамках направлений, утвержденных в государственной программе Российской Федерации «Развитие туризма», с учетом методических рекомендаций по организации в субъектах Российской Федерации деятельности в сфере развития туризма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09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Региональный проект 11 «Повышение доступности туристических продуктов»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76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Гражданам с целью отдыха и поддержания здоровья обеспечена доступность поездок по стране в условиях комфортной и безопасной туристической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380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«Обеспечена поддержка и продвижение событийных мероприятий, возникающих при реализации региональных проектов»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Предоставлена субсидия из областного бюджета, источником финансового обеспечения которой являются средства федерального бюджета, на осуществление поддержки и продвижение событийного мероприятия «XVI Международный кинофестиваль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Восток&amp;Запад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. Классика и Авангард»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условная 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25000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84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9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«Разработан и реализуется комплекс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мер, направленный на повышение доступности и популяризацию туризма для детей школьного возраста»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Предоставлена субсидия из областного бюджета, источником финансового обеспечения которой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являются средства федерального бюджета,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юридическим лицам на возмещение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 для не менее 1 тыс. школьников, обучающихся в 5-9 классах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тысяча человек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5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46" w:type="dxa"/>
            <w:textDirection w:val="lrTb"/>
            <w:noWrap w:val="false"/>
          </w:tcPr>
          <w:p>
            <w:pPr>
              <w:ind w:left="142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Комплекс процессных мероприятий 1 «Повышение эффективности государственного управления социально-экономическим развитием области»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75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446" w:type="dxa"/>
            <w:textDirection w:val="lrTb"/>
            <w:noWrap w:val="false"/>
          </w:tcPr>
          <w:p>
            <w:pPr>
              <w:ind w:left="142" w:right="-8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Повышение качества и доступности предоставления государственных и муниципальных услуг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113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8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9" w:type="dxa"/>
            <w:textDirection w:val="lrTb"/>
            <w:noWrap w:val="false"/>
          </w:tcPr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«Уровень удовлетворенности граждан качеством предоставления государственных и муниципальных услуг в ГАУ «МФЦ»»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dxa"/>
            <w:textDirection w:val="lrTb"/>
            <w:noWrap w:val="false"/>
          </w:tcPr>
          <w:p>
            <w:pPr>
              <w:ind w:left="63" w:right="17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Качественная характеристика сведений о качестве и доступности государственных и муниципальных услуг в ГАУ «МФЦ»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" w:type="dxa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94,0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95,0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95,0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" w:type="dxa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" w:type="dxa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357" w:type="dxa"/>
            <w:vMerge w:val="restart"/>
            <w:textDirection w:val="lrTb"/>
            <w:noWrap w:val="false"/>
          </w:tcPr>
          <w:p>
            <w:pPr>
              <w:pStyle w:val="911"/>
              <w:numPr>
                <w:ilvl w:val="0"/>
                <w:numId w:val="8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2279" w:type="dxa"/>
            <w:vMerge w:val="restart"/>
            <w:textDirection w:val="lrTb"/>
            <w:noWrap w:val="false"/>
          </w:tcPr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Уровень удовлетворенности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граждан,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ридических лиц и индивидуальных предпринимателей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качеством предоставления государственных и муниципальных услуг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 том числе услуг, необходимых для начала осуществления и развития предпринимательской деятельности)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в ГАУ «МФЦ»»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dxa"/>
            <w:vMerge w:val="restart"/>
            <w:textDirection w:val="lrTb"/>
            <w:noWrap w:val="false"/>
          </w:tcPr>
          <w:p>
            <w:pPr>
              <w:ind w:left="63" w:right="17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Качественная характеристика сведений о качестве и доступности государственных и муниципальных услуг в ГАУ «МФЦ»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3" w:type="dxa"/>
            <w:vMerge w:val="restart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943" w:type="dxa"/>
            <w:vMerge w:val="restart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980" w:type="dxa"/>
            <w:vMerge w:val="restart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730" w:type="dxa"/>
            <w:vMerge w:val="restart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96,0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96,0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96,0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96,0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96,0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86" w:type="dxa"/>
            <w:vMerge w:val="restart"/>
            <w:textDirection w:val="lrTb"/>
            <w:noWrap w:val="false"/>
          </w:tcPr>
          <w:p>
            <w:pPr>
              <w:ind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96,0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6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8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«Количество услуг, оказанных в ГАУ  «МФЦ»»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1" w:type="dxa"/>
            <w:textDirection w:val="lrTb"/>
            <w:noWrap w:val="false"/>
          </w:tcPr>
          <w:p>
            <w:pPr>
              <w:ind w:left="6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Количественная характеристика выполнения государственного задания ГАУ «МФЦ»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  <w:lang w:eastAsia="ru-RU"/>
              </w:rPr>
              <w:t xml:space="preserve">641 938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  <w:lang w:val="en-US" w:eastAsia="ru-RU"/>
              </w:rPr>
              <w:t xml:space="preserve">662 211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  <w:lang w:eastAsia="ru-RU"/>
              </w:rPr>
              <w:t xml:space="preserve">595 516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  <w:lang w:eastAsia="ru-RU"/>
              </w:rPr>
              <w:t xml:space="preserve">610 403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  <w:lang w:eastAsia="ru-RU"/>
              </w:rPr>
              <w:t xml:space="preserve">610 403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  <w:lang w:eastAsia="ru-RU"/>
              </w:rPr>
              <w:t xml:space="preserve">610 403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  <w:lang w:eastAsia="ru-RU"/>
              </w:rPr>
              <w:t xml:space="preserve">610 403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  <w:lang w:eastAsia="ru-RU"/>
              </w:rPr>
              <w:t xml:space="preserve">610 403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  <w:lang w:eastAsia="ru-RU"/>
              </w:rPr>
              <w:t xml:space="preserve">610 403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100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8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«Количество жалоб, поступивших в ГАУ  «МФЦ»»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1" w:type="dxa"/>
            <w:textDirection w:val="lrTb"/>
            <w:noWrap w:val="false"/>
          </w:tcPr>
          <w:p>
            <w:pPr>
              <w:ind w:left="6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Качественная характеристика  выполнения государственного задания ГАУ «МФЦ»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30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32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8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«Время ожидания в очереди при обращении заявителя в ГАУ «МФЦ» для получения государственных (муниципальных) услуг»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1" w:type="dxa"/>
            <w:textDirection w:val="lrTb"/>
            <w:noWrap w:val="false"/>
          </w:tcPr>
          <w:p>
            <w:pPr>
              <w:ind w:left="6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Качественная характеристика  выполнения государственного задания ГАУ «МФЦ»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минут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3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3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357" w:type="dxa"/>
            <w:vMerge w:val="restart"/>
            <w:textDirection w:val="lrTb"/>
            <w:noWrap w:val="false"/>
          </w:tcPr>
          <w:p>
            <w:pPr>
              <w:pStyle w:val="911"/>
              <w:numPr>
                <w:ilvl w:val="0"/>
                <w:numId w:val="8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2279" w:type="dxa"/>
            <w:vMerge w:val="restart"/>
            <w:textDirection w:val="lrTb"/>
            <w:noWrap w:val="false"/>
          </w:tcPr>
          <w:p>
            <w:pPr>
              <w:ind w:left="63" w:right="12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31" w:firstLine="0"/>
              <w:jc w:val="left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Время ожидания в очереди при обращении заявителя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(гражданина,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юридического лица, индивидуального предпринимателя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в ГАУ «МФЦ» для получения государственных (муниципальных) услуг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(в том числе услуг, необходимых для начала осуществления и развития предпринимательской деятельности)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dxa"/>
            <w:vMerge w:val="restart"/>
            <w:textDirection w:val="lrTb"/>
            <w:noWrap w:val="false"/>
          </w:tcPr>
          <w:p>
            <w:pPr>
              <w:ind w:left="6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Качественная характеристика  выполнения государственного задания ГАУ «МФЦ»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Merge w:val="restart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минут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  <w:tcW w:w="8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9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980" w:type="dxa"/>
            <w:vMerge w:val="restart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730" w:type="dxa"/>
            <w:vMerge w:val="restart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86" w:type="dxa"/>
            <w:vMerge w:val="restart"/>
            <w:textDirection w:val="lrTb"/>
            <w:noWrap w:val="false"/>
          </w:tcPr>
          <w:p>
            <w:pPr>
              <w:ind w:left="63" w:right="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val="en-US"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169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46" w:type="dxa"/>
            <w:textDirection w:val="lrTb"/>
            <w:noWrap w:val="false"/>
          </w:tcPr>
          <w:p>
            <w:pPr>
              <w:ind w:left="142" w:right="183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Оценка эффективности деятельности органов местного самоуправления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городских округов и муниципальных районов Оренбургской области в целях содействия достижению наилучших результатов значений показателей деятельности, утвержденных постановлением Правительства Российской Федерации от 17 декабря 2012 года № 1317 "О мерах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реализации Указа Президента Российской Федерации от 28 апреля 2008 года №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12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21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«Доля муниципальных образований, имеющих значение комплексной оценки эффективности деятельности органов местного самоуправления выше 0,4 (не менее)»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121" w:right="8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характеризует степень эффективности деятельности органов местного самоуправления городских округов и муниципальных районов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1"/>
          <w:trHeight w:val="132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46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Развитие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выставочно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-ярмарочной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конгрессной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деятельности в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50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3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«Количество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выставочно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-ярмарочных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конгрессных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мероприятий, в которых принимают участие представители минэкономразвития (не менее)»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121" w:right="3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характеризует степень  выполнение мероприятия, направленного на развитие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выставочно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-ярмарочной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конгрессной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деятельности в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633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46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Повышение эффективности использования бюджетных средств и качества обеспечения государственных и муниципальных нужд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Оренбургской области, а также эффективности использования средств, используемых при осуществлении закупок заказчиками в соответствии с Федеральным законом № 223 ФЗ, за счет автоматизации процессов планирования и осуществления закупок товаров, работ,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86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9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«Количество извещений об осуществлении закупок, размещенных ГКУ «ЦОЗ» в Единой информационной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системе в сфере закупок, в соответствии с Федеральным законом № 44-ФЗ и в соответствии с Федеральным законом № 223-ФЗ, по результатам рассмотрения заявок на закупку, поступивших от заказчиков посредством региональной информационной системы в сфере закупок»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tcW w:w="3281" w:type="dxa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характеризует качество обеспечения государственных нужд области за счет автоматизации процессов планирования и осуществления государственных закупок товаров, работ, услуг для обеспечения нужд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штук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12000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0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 w:firstLine="118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Обеспечение деятельности министерства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682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5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«Доля расходов бюджета минэкономразвития, формируемых в рамках государственной программы, в общем объеме расходов бюджета минэкономразвития»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характеризует степень эффективности использования бюджетных средств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66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Комплекс процессных мероприятий 2 «Развитие инвестиционной деятельности в Оренбургской области»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14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-8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Повышение инвестиционной привлекательности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60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4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консультаций, проведенных для инвесторов»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Количественная характеристика выполнения соглашения АНО «Центр поддержки предпринимательства и развития экспорта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40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60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4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проектов на сопровождении у АНО «Центр поддержки предпринимательства и развития экспорта Оренбургской области»»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Количественная характеристика выполнения соглашения АНО «Центр поддержки предпринимательства и развития экспорта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4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60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4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проектов, включенных в реестр приоритетных инвестиционных проектов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Количественная характеристика выполнения соглашения АНО «Центр поддержки предпринимательства и развития экспорта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4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60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4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 w:right="47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бизнес-планов инвесторов, проанализированных АНО «Центр поддержки предпринимательства и развития экспорта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Количественная характеристика выполнения соглашения АНО «Центр поддержки предпринимательства и развития экспорта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4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gridAfter w:val="2"/>
          <w:trHeight w:val="60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4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20"/>
              <w:ind w:left="43" w:right="47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20"/>
              <w:ind w:left="43" w:right="47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«Количество разработанной проектно-сметной документации по созданию объектов инфраструктуры особой экономической зоны промышленно-производственного типа «Оренбуржье»»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Количественная характеристика выполнения соглашения АО «ОЭЗ ППТ «Оренбуржье»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pStyle w:val="920"/>
              <w:ind w:left="43" w:right="-87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7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20"/>
              <w:ind w:left="43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0"/>
              <w:ind w:right="-87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1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4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 w:right="189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 w:right="189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заключенных с инвесторами соглашений о реализации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инвестиционных проектов на территории ОЭЗ»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Количественная характеристика выполнения соглашения АО «ОЭЗ ППТ «Оренбуржье».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оказание мер налогового стимулирования инвесторов на территории Оренбургской области, за счет предоставление налоговых льгот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4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8"/>
                <w:highlight w:val="none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  <w:highlight w:val="non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left="4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4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4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4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4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left="43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1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4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 w:right="189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 w:right="189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«Площадь земельных участков, предоставленных в аренду и (или) находящихся в собственности резидентов ОЭЗ»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Количественная характеристика выполнения соглашения АО «ОЭЗ ППТ «Оренбуржье»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гектаров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4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161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-8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Стимулирование реализации инвестиционных проектов на территории Оренбургской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«Объем выручки предприятий, пользующихся льготой по налогу на имущество организаций, организациям, реализующим инвестиционные проекты, включенные в реес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тр приоритетных инвестиционных проектов Оренбургской области, по которым предоставляются меры государственной поддержки, - в отношении вновь созданного и (или) приобретаемого нового (не бывшего в эксплуатации) имущества в рамках реализации инвестиционного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проекта, принятого к бухгалтерскому учету в качестве основных средств после заключения инвестиционного договора о реализации инвестиционного проекта»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оказание мер налогового стимулирования инвесторов на территории Оренбургской области, за счет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предоставление налоговых льгот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налогоплательщиков, применяющих инвестиционный налоговый вычет»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оказание мер налогового стимулирования инвесторов на территории Оренбургской области, за счет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предоставление налоговых льгот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pStyle w:val="9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новых рабочих мест, созданных резидентами ТОР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оказание мер налогового стимулирования инвесторов на территории Оренбургской области, за счет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предоставление налоговых льгот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pStyle w:val="9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«Объем инвестиций в объекты инфраструктуры в рамках предоставления субсидий на создание объектов инфраструктуры в целях реализации новых инвестиционных проектов»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содействие в реализации инвестиционных проектов, включенных в федеральный перечень новых инвестиционных проектов в соответствии с постановлением Правительства Российской Федерации от 19 октября 2020 года № 1704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тыс. рублей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pStyle w:val="9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533 929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816 975,7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1 191 875,7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«Общий объем осуществленных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инвестиций на территории ОЭЗ»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содействие в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реализации инвестиционных проектов на территории ОЭЗ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pStyle w:val="9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1 352,9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4 000,00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2 000,0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2 000,0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2 000,0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2 000,0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2 000,0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рабочих мест, созданных резидентами на территории ОЭЗ»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содействие в реализации инвестиционных проектов на территории ОЭЗ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pStyle w:val="9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83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3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7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eastAsia="Calibri" w:cs="Times New Roman"/>
                <w:color w:val="000000" w:themeColor="text1"/>
                <w:szCs w:val="20"/>
                <w:highlight w:val="none"/>
                <w:lang w:eastAsia="en-US"/>
              </w:rPr>
              <w:t xml:space="preserve">Обеспечение поступлений в федеральный бюджет налоговых доходов от реализации нового инвестиционного проекта, в объеме не менее 100 процентов от размера предоставляемой субсидии и в объеме не менее установленных в Соглашении о намерениях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накопительным итогом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</w:t>
            </w:r>
            <w:r>
              <w:rPr>
                <w:color w:val="000000" w:themeColor="text1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содействие в реализации инвестиционных проектов, включенных в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федераль-ный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 перечень новых инвестиционных проектов в соответствии с постановлением Правительства Российской Федерации от 19 октября 2020 года № 1704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ind w:right="2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26,9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48,9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71,9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121,2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147,5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174,9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8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«Объем инвестиций на реализацию нового инвестиционного проекта 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пень выполнения мероприятия, направленного на содействие в реализации инвестиционных проектов, включенных в федеральный перечень новых инвестиционных проектов в соответствии с постановлением Правительства Российской Федерации от 19 октября 2020 года № 1704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pStyle w:val="9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  <w:lang w:val="en-US"/>
              </w:rPr>
              <w:t xml:space="preserve">1800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,0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  <w:lang w:val="en-US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,0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9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«Количество рабочих мест, созданных в рамках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реализации новых инвестиционных проектов»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содействие в реализации инвестиционных проектов, включенных в федеральный перечень новых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инвестиционных проектов в соответствии с постановлением Правительства Российской Федерации от 19 октября 2020 года № 1704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pStyle w:val="9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45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2279" w:type="dxa"/>
            <w:vAlign w:val="center"/>
            <w:textDirection w:val="lrTb"/>
            <w:noWrap w:val="false"/>
          </w:tcPr>
          <w:p>
            <w:pPr>
              <w:pStyle w:val="920"/>
              <w:ind w:left="43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10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20"/>
              <w:ind w:left="43"/>
              <w:spacing w:before="0" w:beforeAutospacing="0" w:after="0" w:afterAutospacing="0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«Поступление налоговых и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неналоговых доходов в консолидированный бюджет Оренбургской области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территорий»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20"/>
              <w:ind w:left="15" w:right="118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результат характеризует поступление в консолидированный бюджет Оренбургской области налоговых 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и неналоговых доходов от реализации инфраструктурного проекта в целях обеспечения связанного с ним инвестиционного проекта «Особая экономическая зона промышленного-производственного типа «Оренбуржье» / технологическое присоединение к сетям электроснабжения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млн. рублей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0,62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4,81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28,34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113,04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160,83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181,14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198,21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216,97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0"/>
              <w:ind w:right="-87"/>
              <w:jc w:val="center"/>
              <w:spacing w:before="0" w:beforeAutospacing="0" w:after="0" w:afterAutospacing="0"/>
              <w:widowControl w:val="off"/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  <w:t xml:space="preserve">-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eastAsiaTheme="minorEastAsia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 w:right="189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11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 w:right="189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Ввод объекта транспортной инфраструктуры в эксплуатацию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в соответствии с детализированным перечнем мероприятий, реализуемых в рамках инфраструктурных проектов Оренбургской облас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ти, соглашения с Минстроем России от 27.01.2022 № 12-28/с созданы объекты транспортной инфраструктуры в целях реализации инфраструктурных проектов в рамках инвестиционного проекта «Особая экономическая зона промышленного-производственного типа «Оренбуржье»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43"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3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3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pStyle w:val="910"/>
              <w:ind w:left="43" w:right="189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12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 w:right="189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«Объем выручки малых технологических компаний,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пользующихся льготой по налогу на прибыль организаций для налогоплательщиков - российских организаций, зарегистрированных и (или) осуществляющих деятельность на территории Оренбургской области, включенных в реестр малых технологических компаний»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pStyle w:val="910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стимулирование развития малых технологических компаний на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территории Оренбургской области, за счет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предоставление налоговых льгот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pStyle w:val="910"/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pStyle w:val="910"/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3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80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2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Комплекс процессных мероприятий 3 «Государственная поддержка организаций, образующих инфраструктуру поддержки субъектов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18" w:right="2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малого и среднего предпринимательства»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65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241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Оказание мер поддержки субъектам МСП  и обеспечение деятельности  организаций, образующих инфраструктуру поддержки предпринимательства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44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«Площадь помещений ГБУ «ООБИ», предоставленных субъектам МСП»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55" w:right="16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Количественная характеристика выполнения государственного задания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кв. метров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3076,59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3087,01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3087,01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3108,7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3108,7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3108,7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44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жалоб, поступивших (обоснованных) в ГБУ «ООБИ»»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55" w:right="16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Качественная характеристика выполнения государственного задания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44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279" w:type="dxa"/>
            <w:textDirection w:val="lrTb"/>
            <w:noWrap w:val="false"/>
          </w:tcPr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консультаций, проведенных ГБУ «ООБИ»»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3281" w:type="dxa"/>
            <w:textDirection w:val="lrTb"/>
            <w:noWrap w:val="false"/>
          </w:tcPr>
          <w:p>
            <w:pPr>
              <w:ind w:left="5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Количественная характеристика выполнения государственного задания ГБУ «ООБИ»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субъектов МСП, получивших поддержку в Центре «Мой бизнес»»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55" w:right="16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Количественная характеристика выполнения соглашения с АНО "Центр поддержки предпринимательства и развития экспорта Оренбургской области"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«Оборот субъектов предпринимательства»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pStyle w:val="910"/>
              <w:ind w:left="15" w:right="118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highlight w:val="none"/>
              </w:rPr>
            </w:r>
          </w:p>
          <w:p>
            <w:pPr>
              <w:ind w:left="55" w:right="16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оказание мер налогового стимулирования субъектов малого и среднего предпринимательства на территории Оренбургской области, за счет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предоставление налоговых льгот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820666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820666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786683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832310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«Объем займов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мирозаймов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предоставленных МКК "ОО Фонд ПМП" субъектам малого и среднего предпринимательства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характеризует объем займов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мирозаймов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, предоставленных МКК "ОО Фонд ПМП" субъектам малого и среднего предпринимательства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  <w:lang w:val="en-US"/>
              </w:rPr>
              <w:t xml:space="preserve">85 000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5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«Объем финансовой поддержки, оказанной субъектам малого и среднего предпринимательства при гарантийной поддержке НО «ГФОО»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Результат характеризует объем финансовой поддержки, оказанной субъектам малого и среднего предпринимательства при гарантийной поддержке НО «ГФОО»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  <w:lang w:val="en-US"/>
              </w:rPr>
              <w:t xml:space="preserve">85 000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65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2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Комплекс процессных мероприятий 4 «Поддержка малого и среднего предпринимательства»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15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241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0"/>
                <w:highlight w:val="none"/>
              </w:rPr>
              <w:t xml:space="preserve">Оказание услуг и мер поддержки субъектам МСП и гражданам, желающим вести бизнес организациями инфраструктуры поддержки малого и среднего предпринимательства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МСП, физическим лицам, применяющим специальный налоговый режим «Налог на профессиональный доход», а также гражданам, желающим вести бизнес обеспечено предоставление комплекса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информационно-консультационных и образовательных услуг» (количество субъектов МСП, физических лиц, применяющих специальный налоговый режим «Налог на профессиональный доход», а также гражданам, желающим вести бизнес, получивших услуги в Центре)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Инфраструктурой поддержки субъектов МСП оказаны информационно-консультационные и образовательные услуги субъектам МСП, физическим лицам, применяющим специальный налоговый режим «Налог на профессиональный доход», а также гражданам, желающим вести бизнес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«Субъектам малого и среднего предпринимательства, предоставлены комплекс услуг и (или) финансовая поддержка в виде грантов (количество субъектов малого и среднего предпринимательства, получивших финансовую поддержку в виде грантов)»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18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Предоставлены субсидии на реализацию мероприятий по оказанию поддержки субъектам МСП. В 2025 году количество субъектов МСП получивших финансовую поддержку в виде гранта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единиц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субъектов малого и среднего предпринимательства, получивших услуги автономной некоммерческой организации «Центр поддержки предпринимательства и развития экспорта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Инфраструктурой поддержки субъектов малого и среднего предпринимательства оказаны услуги по экспортной поддержке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единиц</w:t>
            </w: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65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color w:val="000000" w:themeColor="text1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субъектов малого и среднего предпринимательства выведенных на экспорт при поддержке Центра (количество субъектов малого и среднего предпринимательства, заключивших экспортные контракты при содействии Центра)»</w:t>
            </w:r>
            <w:r>
              <w:rPr>
                <w:color w:val="000000" w:themeColor="text1"/>
                <w:highlight w:val="none"/>
                <w:shd w:val="clear" w:color="auto" w:fill="81d41a"/>
              </w:rPr>
            </w:r>
            <w:r>
              <w:rPr>
                <w:color w:val="000000" w:themeColor="text1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Инфраструктурой поддержки субъектов малого и среднего предпринимательства обеспечена поддержка по заключению экспортных контрактов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единиц</w:t>
            </w: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1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pStyle w:val="920"/>
              <w:spacing w:before="0" w:beforeAutospacing="0" w:after="200" w:afterAutospacing="0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Поощрение муниципальных команд по итогам рейтинга экономического развития муниципальных образований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«Проведен ежегодный конкурсный отбор муниципальных образований на поощрение муниципальных команд по итогам рейтинга экономического развития муниципальных образований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В качестве поощрения предоставлена дотация бюджетам муниципальных образований на поощрение муниципальных команд по итогам рейтинга экономического развития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ff"/>
              </w:rPr>
              <w:t xml:space="preserve">единиц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200" w:afterAutospacing="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Комплекс процессных мероприятий 5 «Организация и проведение мероприятий в сфере туризма»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8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Популяризация туристско-рекреационного комплекса Оренбургской области, продвижение туристско-рекреационного потенциала Оренбургской области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55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0"/>
              </w:num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87"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87" w:right="47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мероприятий, направленных на повышение туристической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привлекательности Оренбургской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111" w:right="129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характеризует степень выполнения мероприятий, направленных на повышение туристической привлекательности Оренбургской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43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80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left="11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gridAfter w:val="2"/>
          <w:trHeight w:val="228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Комплекс процессных мероприятий 6 «Развитие торговли Оренбургской области»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50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60" w:right="-8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Развитие сельской торговли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63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right="83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27" w:right="83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отдаленных, труднодоступных и малонаселенных пунктов Оренбургской области,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right="129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организацию торгового обслуживания жителей отдаленных, труднодоступных и малонаселенных пунктов Оренбургской области, а также населенных пунктов,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right="129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 которых отсутствуют торговые объекты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25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-8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Повышение качества торгового обслуживания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563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right="47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right="47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проведенных экспертиз объектов общественного питания»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59" w:right="129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повышение эффективности контроля в рамках регионального государственного контроля (надзора) в области розничной продажи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алкогольной и спиртосодержащей продукции, получение объективных и обоснованных выводов по вопросам, требующим специальных знаний и проведения исследований экспертами из числа лиц, обладающих специальными знаниями по сертификации услуг общественного питания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47"/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66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42" w:right="183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Содействие товаропроизводителям, крестьянским (фермерским) хозяйствам в реализации произведенной ими продукции путем организации нестационарной и мобильной торговли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45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121" w:right="189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21" w:right="189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местных товаропроизводителей и крестьянских (фермерских) хозяйств, участвующих в конкурсных,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выставочно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-ярмарочных,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конгрессных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, презентационных мероприятиях,  направленных на развитие потребительского рынка Оренбургской области (не менее)»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121" w:right="18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стимулирование деловой активности, повышение качества обслуживания в сфере торговли и услуг, позиционирование качественной местной продукции,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насыще-ние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внутреннего потребительского рынка товарами, расширение рынков сбыта продукции местных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товаропроиз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водителей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кресть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 янских (фермерских) хозяйств, содействие устойчивому социально-экономическому росту регионального бизнеса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03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18" w:right="-1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Повышение уровня обеспеченности населения нестационарными торговыми объектами по продаже печатной продукции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9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279" w:type="dxa"/>
            <w:textDirection w:val="lrTb"/>
            <w:noWrap w:val="false"/>
          </w:tcPr>
          <w:p>
            <w:pPr>
              <w:ind w:left="63" w:right="78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78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Количество нестационарных торговых объектов (включая «книжные развалы», объекты, расположенные в торговых комплексах (центрах) моллах, учреждениях здравоохранения, образования, на объектах транспортной инфраструктуры) по продаже печатной продукции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63" w:right="78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обеспечение доступности приобретения населением печатной продукции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78" w:firstLine="72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63" w:right="7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ind w:right="-1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right="-8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279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42" w:right="-22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Комплекс процессных мероприятий 7 «Развитие рекламы и нестационарных торговых объектов на территории муниципального образования город Оренбург»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384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446" w:type="dxa"/>
            <w:textDirection w:val="lrTb"/>
            <w:noWrap w:val="false"/>
          </w:tcPr>
          <w:p>
            <w:pPr>
              <w:ind w:left="142" w:right="-22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Обеспечение деятельности государственного учреждения в сфере рекламы и в области регулирования торговой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62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3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96" w:right="4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6" w:right="4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изменений, внесённых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схемы размещения рекламных конструкций и нестационарных торговых объектов на территории муниципального образования город Оренбург с целью их актуализации»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развитие рекламы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и нестационарных торговых объектов на территории муниципального образования город Оренбург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65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43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80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left="96" w:right="45"/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gridAfter w:val="2"/>
          <w:trHeight w:val="110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57" w:type="dxa"/>
            <w:textDirection w:val="lrTb"/>
            <w:noWrap w:val="false"/>
          </w:tcPr>
          <w:p>
            <w:pPr>
              <w:pStyle w:val="911"/>
              <w:numPr>
                <w:ilvl w:val="0"/>
                <w:numId w:val="13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ind w:left="96" w:right="4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96" w:right="4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«Количество проведенных проверочных мероприятий в области размещения рекламных конструкций»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281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Результат характеризует степень выполнения мероприятия, направленного на развитие рекламы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 территории муниципального образования город Оренбург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43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43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80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30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ind w:left="99" w:right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sectPr>
      <w:headerReference w:type="default" r:id="rId9"/>
      <w:footnotePr/>
      <w:endnotePr/>
      <w:type w:val="nextPage"/>
      <w:pgSz w:w="16838" w:h="11906" w:orient="landscape"/>
      <w:pgMar w:top="851" w:right="1134" w:bottom="1701" w:left="1134" w:header="283" w:footer="2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3511814"/>
      <w:docPartObj>
        <w:docPartGallery w:val="Page Numbers (Top of Page)"/>
        <w:docPartUnique w:val="true"/>
      </w:docPartObj>
      <w:rPr/>
    </w:sdtPr>
    <w:sdtContent>
      <w:p>
        <w:pPr>
          <w:pStyle w:val="75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  <w:p>
    <w:pPr>
      <w:pStyle w:val="7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430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17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288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trike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04" w:hanging="1004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3"/>
  </w:num>
  <w:num w:numId="5">
    <w:abstractNumId w:val="16"/>
  </w:num>
  <w:num w:numId="6">
    <w:abstractNumId w:val="14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9"/>
  </w:num>
  <w:num w:numId="15">
    <w:abstractNumId w:val="3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</w:style>
  <w:style w:type="paragraph" w:styleId="713">
    <w:name w:val="Heading 1"/>
    <w:basedOn w:val="712"/>
    <w:next w:val="712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next w:val="712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9">
    <w:name w:val="Heading 7"/>
    <w:basedOn w:val="712"/>
    <w:next w:val="7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0">
    <w:name w:val="Heading 8"/>
    <w:basedOn w:val="712"/>
    <w:next w:val="712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1">
    <w:name w:val="Heading 9"/>
    <w:basedOn w:val="712"/>
    <w:next w:val="712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Header Char"/>
    <w:basedOn w:val="722"/>
    <w:uiPriority w:val="99"/>
  </w:style>
  <w:style w:type="character" w:styleId="739" w:customStyle="1">
    <w:name w:val="Caption Char"/>
    <w:uiPriority w:val="99"/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Заголовок 1 Знак"/>
    <w:basedOn w:val="722"/>
    <w:link w:val="713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basedOn w:val="722"/>
    <w:link w:val="714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basedOn w:val="722"/>
    <w:link w:val="715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after="0" w:line="240" w:lineRule="auto"/>
    </w:pPr>
  </w:style>
  <w:style w:type="paragraph" w:styleId="751">
    <w:name w:val="Title"/>
    <w:basedOn w:val="712"/>
    <w:next w:val="712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Заголовок Знак"/>
    <w:basedOn w:val="722"/>
    <w:link w:val="751"/>
    <w:uiPriority w:val="10"/>
    <w:rPr>
      <w:sz w:val="48"/>
      <w:szCs w:val="48"/>
    </w:rPr>
  </w:style>
  <w:style w:type="paragraph" w:styleId="753">
    <w:name w:val="Subtitle"/>
    <w:basedOn w:val="712"/>
    <w:next w:val="712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basedOn w:val="722"/>
    <w:link w:val="753"/>
    <w:uiPriority w:val="11"/>
    <w:rPr>
      <w:sz w:val="24"/>
      <w:szCs w:val="24"/>
    </w:rPr>
  </w:style>
  <w:style w:type="paragraph" w:styleId="755">
    <w:name w:val="Quote"/>
    <w:basedOn w:val="712"/>
    <w:next w:val="712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2"/>
    <w:next w:val="712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12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Верхний колонтитул Знак"/>
    <w:basedOn w:val="722"/>
    <w:link w:val="759"/>
    <w:uiPriority w:val="99"/>
  </w:style>
  <w:style w:type="paragraph" w:styleId="761">
    <w:name w:val="Footer"/>
    <w:basedOn w:val="712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Footer Char"/>
    <w:basedOn w:val="722"/>
    <w:uiPriority w:val="99"/>
  </w:style>
  <w:style w:type="paragraph" w:styleId="763">
    <w:name w:val="Caption"/>
    <w:basedOn w:val="712"/>
    <w:next w:val="712"/>
    <w:link w:val="73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4" w:customStyle="1">
    <w:name w:val="Нижний колонтитул Знак"/>
    <w:link w:val="761"/>
    <w:uiPriority w:val="99"/>
  </w:style>
  <w:style w:type="table" w:styleId="765">
    <w:name w:val="Table Grid"/>
    <w:basedOn w:val="7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6" w:customStyle="1">
    <w:name w:val="Table Grid Light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7">
    <w:name w:val="Plain Table 1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5" w:customStyle="1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6" w:customStyle="1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7" w:customStyle="1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8" w:customStyle="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9" w:customStyle="1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0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7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9" w:customStyle="1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0" w:customStyle="1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1" w:customStyle="1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2" w:customStyle="1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 w:customStyle="1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4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8" w:customStyle="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9" w:customStyle="1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0" w:customStyle="1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1" w:customStyle="1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2" w:customStyle="1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3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2" w:customStyle="1">
    <w:name w:val="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3" w:customStyle="1">
    <w:name w:val="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4" w:customStyle="1">
    <w:name w:val="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5" w:customStyle="1">
    <w:name w:val="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6" w:customStyle="1">
    <w:name w:val="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7" w:customStyle="1">
    <w:name w:val="Bordered &amp; 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Bordered &amp; 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Bordered &amp; 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Bordered &amp; 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Bordered &amp; 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Bordered &amp; 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6" w:customStyle="1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7" w:customStyle="1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8" w:customStyle="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9" w:customStyle="1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0" w:customStyle="1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563c1" w:themeColor="hyperlink"/>
      <w:u w:val="single"/>
    </w:rPr>
  </w:style>
  <w:style w:type="character" w:styleId="892" w:customStyle="1">
    <w:name w:val="Footnote Text Char"/>
    <w:uiPriority w:val="99"/>
    <w:rPr>
      <w:sz w:val="18"/>
    </w:rPr>
  </w:style>
  <w:style w:type="paragraph" w:styleId="893">
    <w:name w:val="endnote text"/>
    <w:basedOn w:val="712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22"/>
    <w:uiPriority w:val="99"/>
    <w:semiHidden/>
    <w:unhideWhenUsed/>
    <w:rPr>
      <w:vertAlign w:val="superscript"/>
    </w:rPr>
  </w:style>
  <w:style w:type="paragraph" w:styleId="896">
    <w:name w:val="toc 1"/>
    <w:basedOn w:val="712"/>
    <w:next w:val="712"/>
    <w:uiPriority w:val="39"/>
    <w:unhideWhenUsed/>
    <w:pPr>
      <w:spacing w:after="57"/>
    </w:pPr>
  </w:style>
  <w:style w:type="paragraph" w:styleId="897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98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99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900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901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902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03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04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12"/>
    <w:next w:val="712"/>
    <w:uiPriority w:val="99"/>
    <w:unhideWhenUsed/>
    <w:pPr>
      <w:spacing w:after="0"/>
    </w:pPr>
  </w:style>
  <w:style w:type="paragraph" w:styleId="907">
    <w:name w:val="footnote text"/>
    <w:basedOn w:val="712"/>
    <w:link w:val="908"/>
    <w:semiHidden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08" w:customStyle="1">
    <w:name w:val="Текст сноски Знак"/>
    <w:basedOn w:val="722"/>
    <w:link w:val="907"/>
    <w:semiHidden/>
    <w:rPr>
      <w:rFonts w:ascii="Arial" w:hAnsi="Arial" w:eastAsia="Times New Roman" w:cs="Arial"/>
      <w:sz w:val="20"/>
      <w:szCs w:val="20"/>
      <w:lang w:eastAsia="ru-RU"/>
    </w:rPr>
  </w:style>
  <w:style w:type="character" w:styleId="909">
    <w:name w:val="footnote reference"/>
    <w:semiHidden/>
    <w:rPr>
      <w:rFonts w:cs="Times New Roman"/>
      <w:vertAlign w:val="superscript"/>
    </w:rPr>
  </w:style>
  <w:style w:type="paragraph" w:styleId="910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911">
    <w:name w:val="List Paragraph"/>
    <w:basedOn w:val="712"/>
    <w:uiPriority w:val="34"/>
    <w:qFormat/>
    <w:pPr>
      <w:contextualSpacing/>
      <w:ind w:left="720"/>
    </w:pPr>
  </w:style>
  <w:style w:type="paragraph" w:styleId="912" w:customStyle="1">
    <w:name w:val="Нормальный (таблица)"/>
    <w:basedOn w:val="712"/>
    <w:next w:val="712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character" w:styleId="913">
    <w:name w:val="annotation reference"/>
    <w:basedOn w:val="722"/>
    <w:uiPriority w:val="99"/>
    <w:semiHidden/>
    <w:unhideWhenUsed/>
    <w:rPr>
      <w:sz w:val="16"/>
      <w:szCs w:val="16"/>
    </w:rPr>
  </w:style>
  <w:style w:type="paragraph" w:styleId="914">
    <w:name w:val="annotation text"/>
    <w:basedOn w:val="712"/>
    <w:link w:val="91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5" w:customStyle="1">
    <w:name w:val="Текст примечания Знак"/>
    <w:basedOn w:val="722"/>
    <w:link w:val="914"/>
    <w:uiPriority w:val="99"/>
    <w:semiHidden/>
    <w:rPr>
      <w:sz w:val="20"/>
      <w:szCs w:val="20"/>
    </w:rPr>
  </w:style>
  <w:style w:type="paragraph" w:styleId="916">
    <w:name w:val="annotation subject"/>
    <w:basedOn w:val="914"/>
    <w:next w:val="914"/>
    <w:link w:val="917"/>
    <w:uiPriority w:val="99"/>
    <w:semiHidden/>
    <w:unhideWhenUsed/>
    <w:rPr>
      <w:b/>
      <w:bCs/>
    </w:rPr>
  </w:style>
  <w:style w:type="character" w:styleId="917" w:customStyle="1">
    <w:name w:val="Тема примечания Знак"/>
    <w:basedOn w:val="915"/>
    <w:link w:val="916"/>
    <w:uiPriority w:val="99"/>
    <w:semiHidden/>
    <w:rPr>
      <w:b/>
      <w:bCs/>
      <w:sz w:val="20"/>
      <w:szCs w:val="20"/>
    </w:rPr>
  </w:style>
  <w:style w:type="paragraph" w:styleId="918">
    <w:name w:val="Balloon Text"/>
    <w:basedOn w:val="712"/>
    <w:link w:val="91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9" w:customStyle="1">
    <w:name w:val="Текст выноски Знак"/>
    <w:basedOn w:val="722"/>
    <w:link w:val="918"/>
    <w:uiPriority w:val="99"/>
    <w:semiHidden/>
    <w:rPr>
      <w:rFonts w:ascii="Segoe UI" w:hAnsi="Segoe UI" w:cs="Segoe UI"/>
      <w:sz w:val="18"/>
      <w:szCs w:val="18"/>
    </w:rPr>
  </w:style>
  <w:style w:type="paragraph" w:styleId="920">
    <w:name w:val="Normal (Web)"/>
    <w:basedOn w:val="71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Revision"/>
    <w:hidden/>
    <w:uiPriority w:val="99"/>
    <w:semiHidden/>
    <w:pPr>
      <w:spacing w:after="0" w:line="240" w:lineRule="auto"/>
    </w:pPr>
  </w:style>
  <w:style w:type="paragraph" w:styleId="922" w:customStyle="1">
    <w:name w:val="docdata"/>
    <w:basedOn w:val="7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3647-0D13-490B-9942-4189C874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Правительство Оренбургской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esto</cp:lastModifiedBy>
  <cp:revision>19</cp:revision>
  <dcterms:created xsi:type="dcterms:W3CDTF">2025-03-12T10:26:00Z</dcterms:created>
  <dcterms:modified xsi:type="dcterms:W3CDTF">2025-08-19T04:57:12Z</dcterms:modified>
</cp:coreProperties>
</file>