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40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Приложение № 2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к протоколу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11340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заседания Управляющего совета 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11340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государственной программы     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   «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Экономическое развитие Оренбургской области»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11340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от___________№__________   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tbl>
      <w:tblPr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98"/>
        <w:gridCol w:w="5139"/>
        <w:gridCol w:w="5353"/>
        <w:gridCol w:w="3861"/>
      </w:tblGrid>
      <w:tr>
        <w:tblPrEx/>
        <w:trPr/>
        <w:tc>
          <w:tcPr>
            <w:gridSpan w:val="4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Задачи, планируемые в рамках структурных элементов государственной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программы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</w:tcBorders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53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3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" w:lineRule="auto"/>
        <w:rPr>
          <w:color w:val="000000" w:themeColor="text1"/>
          <w:sz w:val="2"/>
          <w:highlight w:val="none"/>
        </w:rPr>
      </w:pPr>
      <w:r>
        <w:rPr>
          <w:color w:val="000000" w:themeColor="text1"/>
          <w:sz w:val="2"/>
          <w:highlight w:val="none"/>
        </w:rPr>
      </w:r>
      <w:r>
        <w:rPr>
          <w:color w:val="000000" w:themeColor="text1"/>
          <w:sz w:val="2"/>
          <w:highlight w:val="none"/>
        </w:rPr>
      </w:r>
      <w:r>
        <w:rPr>
          <w:color w:val="000000" w:themeColor="text1"/>
          <w:sz w:val="2"/>
          <w:highlight w:val="none"/>
        </w:rPr>
      </w:r>
    </w:p>
    <w:tbl>
      <w:tblPr>
        <w:tblW w:w="1545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98"/>
        <w:gridCol w:w="5139"/>
        <w:gridCol w:w="1686"/>
        <w:gridCol w:w="192"/>
        <w:gridCol w:w="74"/>
        <w:gridCol w:w="147"/>
        <w:gridCol w:w="3304"/>
        <w:gridCol w:w="3811"/>
      </w:tblGrid>
      <w:tr>
        <w:tblPrEx/>
        <w:trPr>
          <w:tblHeader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«Адресная поддержка повышения производительности труда на предприятиях»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(Здорова Елена Сергеевна – куратор)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W w:w="81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2023-2024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Предприятиям предоставлена возможность по внедрению лучших практик (типовых решений) и получению услуг по повышению производительности труда посредством специализированных центров компетенций на федеральном и региональном уровне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рост производительности труда на предприятиях - участниках проекта;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формирование системы обучения сотрудников предприятий-участников проекта по направлению «Бережливое производство»;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применение инструментов «Бережливое производство»;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формирование условий для устойчивого качественного роста производительности труда на предприятиях базовых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несырьевых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отраслей экономики, а также внедрения организационных инноваций в производственные и управленческие процессы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течении трех лет участия в проекте;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предприятий- участников, вовлеченных в национальный проект через получение адресной поддержки,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сотрудников предприятий и представителей региональных команд,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прошедших обучение инструментам повышения производительности труда,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предприятий- участников, внедряющих мероприятия национального проекта самостоятельно,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предприятий- участников, внедряющих мероприятия национального проекта под федеральным управлением (с ФЦК),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удовлетворенность предприятий работой региональных центров компетенций (доля предприятий, удовлетворенных работой названных центров);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сотрудников предприятий, прошедших обучение инструментам повышения производительности труда под региональным управлением (с РЦК),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сотрудников предприятий, прошедших обучение инструментам повышения производительности труда под федеральным управлением (с ФЦК),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представителей региональных команд, прошедших обучение инструментам повышения производительности труда,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предприятий-участников, внедряющих мероприятия национального проекта под региональным управлением (с РЦК), нарастающим итогом;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подготовленных инструкторов по бережливому производству на предприятиях- участниках национального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проекта под региональным управлением (с РЦК), нарастающим итогом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«Производительность труда»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куратор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W w:w="8189" w:type="dxa"/>
            <w:textDirection w:val="lrTb"/>
            <w:noWrap w:val="false"/>
          </w:tcPr>
          <w:p>
            <w:pPr>
              <w:ind w:left="13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Обеспечено повышение производительности труда на средних и крупных предприятиях базовых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несырьевых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рост производительности труда на предприятиях - участниках проекта;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формирование системы обучения сотрудников предприятий-участников проекта по направлению «Бережливое производство»;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применение инструментов «Бережливое производство»;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формирование условий для устойчивого качественного роста производительности труда на предприятиях базовых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несырьевых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отраслей экономики, а также внедрения организационных инноваций в производственные и управленческие процессы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Доля предприятий, достигших ежегодного 5%-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(Оренбургская область)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W w:w="818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vAlign w:val="center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Увеличен охват субъектов МСП услугами и мерами инфраструктуры поддержки субъектов 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vAlign w:val="center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предоставление субъектам МСП и гражданам, желающим вести бизнес, услуг и мер поддержки организациями инфраструктуры поддержки 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vAlign w:val="center"/>
            <w:vMerge w:val="restart"/>
            <w:textDirection w:val="lrTb"/>
            <w:noWrap w:val="false"/>
          </w:tcPr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vAlign w:val="center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Расширен доступ к финансовым ресурсам субъектов МСП в приоритетных отраслях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vAlign w:val="center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обеспечение субъектам МСП льготного доступа к заемным средствам государственных МФО;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обеспечение субъектам МСП привлечение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финансирования за счет поручительств (независимых гарантий) фондов содействия кредитованию (гарантийных фондов, фондов поручительств)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vAlign w:val="center"/>
            <w:vMerge w:val="restart"/>
            <w:textDirection w:val="lrTb"/>
            <w:noWrap w:val="false"/>
          </w:tcPr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доля субъектов МСП, превысивших предельные значения для определения категорий субъектов МСП (микро-, малые, средние)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ind w:left="16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«Акселерация субъектов малого и среднего предпринимательства»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W w:w="8189" w:type="dxa"/>
            <w:textDirection w:val="lrTb"/>
            <w:noWrap w:val="false"/>
          </w:tcPr>
          <w:p>
            <w:pPr>
              <w:ind w:left="16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ind w:left="16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Создана комплексная система акселерации, включающая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субъектам МСП льготного доступа к заемным средствам государственных МФО;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субъектам МСП предоставления поручительств (гарантий) фондов содействия кредитованию (гарантийных фондов, фондов поручительств);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субъектам МСП, 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также резидентам промышленных парков, технопарков оказания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осуществление субъектами МСП экспорта товаров (работ, услуг) при поддержке центров поддержки экспорта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ind w:left="16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4.2.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самозанятых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 до 25 млн. человек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рост численности занятых в сфере малого и среднего предпринимательства, включая индивидуальных предпринимателей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самозанятых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ind w:left="16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«Создание благоприятных условий для осуществления деятельности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самозанятыми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гражданами»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W w:w="818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2023-202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Созданы благоприятные условия для осуществления деятельности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самозанятыми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гражданами посредством применения нового режима налогообложения и предоставления мер поддержки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самозанятым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гражданам комплекса информационно-консультационных и образовательных услуг организациями инфраструктуры поддержки МСП и федеральными институтами развития (центрами компетенций) в офлайн- и онлайн-форматах;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самозанятым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гражданам льготных финансовых ресурсов в виде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микрозаймов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государственными МФО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самозанятых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(НПД), накопленным итогом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«Создание условий для легкого старта и комфортного ведения бизнеса»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30" w:right="85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shd w:val="clear" w:color="auto" w:fill="ffffff"/>
            <w:tcW w:w="8336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W w:w="7115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2023-202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tabs>
                <w:tab w:val="left" w:pos="1461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Созданы условия для легкого старта и комфортного ведения бизнеса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предакселерация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предоставление начинающим предпринимателям поручительств и независимых гарантий РГО обеспечения доступа к кредитным и иным финансовым ресурсам для старта бизнеса;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предоставление начинающим предпринимателям льготных финансовых ресурсов в виде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микрозаймов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государственными МФО;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оказание субъектам МСП,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лет, комплекса услуг и (или) предоставление финансовой поддержки в виде грантов;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предоставление гражданам, желающим вести бизнес, начинающим и действующим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предпринимателям комплекса услуг, направленных на вовлечение в предпринимательскую деятельность, а также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информационно-консультационных и образовательных услуг в офлайн- и онлайн-форматах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(центрах компетенций)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«Системные меры развития международной кооперации и экспорта»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shd w:val="clear" w:color="auto" w:fill="ffffff"/>
            <w:tcW w:w="8336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W w:w="7115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2023-20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Создана и функционирует система инструментов ВЭД, преимущественно ориентированная на развитие отношений с дружественными странами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увеличен взаимный товарооборот с дружественными странами за счет продвижения продукции региональных производителей на рынки дружественных стран, логистики перевозок, новых инструментов поддержки экспорта 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субъектов Российской Федерации, в которых внедрен Региональный экспортный стандарт 2.0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«Системные меры развития международной кооперации и экспорта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в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42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8.1.1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Создана и функционирует система инструментов </w:t>
            </w: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highlight w:val="none"/>
                <w:lang w:eastAsia="ru-RU"/>
              </w:rPr>
              <w:t xml:space="preserve">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ВЭД, преимущественно ориентированная на развитие отношений с дружественными странами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увеличен взаимный товарооборот с дружественными странами за счет продвижения продукции региональных производителей на рынки дружественных стран, логистики перевозок, новых инструментов поддержки экспорта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субъектов Российской Федерации, в которых внедрен Региональный экспортный стандарт 2.0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«Создание номерного фонда, инфраструктуры и новых точек притяжения»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shd w:val="clear" w:color="auto" w:fill="ffffff"/>
            <w:tcW w:w="8336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W w:w="7115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2025-20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tabs>
                <w:tab w:val="left" w:pos="1182" w:leader="none"/>
              </w:tabs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  <w:t xml:space="preserve">реализованы мероприятия в рамках предоставления единой субсидии из федерального бюджета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туристических поездок по территории Российской Федерации 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tabs>
                <w:tab w:val="left" w:pos="1182" w:leader="none"/>
              </w:tabs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Увеличено количество доступных номеров для размещения граждан в целях их обеспечения комфортными условиями для отдыха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обеспечено завершение строительства (реконструкции) объектов обеспечивающей инфраструктуры с длительным сроком окупаемости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туристических поездок по территории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«Развитие туристической инфраструктуры (Оренбургская область)»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shd w:val="clear" w:color="auto" w:fill="ffffff"/>
            <w:tcW w:w="792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7528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09"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Граждане обеспечены современной туристической инфраструктурой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обеспечение поддержки реализации общественных инициатив, направленных на развитие туристической инфраструктуры;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обеспечено завершение строительства (реконструкции) объектов обеспечивающей инфраструктуры с длительным сроком окупаемости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 w:right="8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инвестиционных проектов, поддержанных путем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софинансирования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строительства (реконструкции) объектов обеспечивающей инфраструктуры с длительным сроком окупаемости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50"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Создана и внедрена система поддержки, направленная на развития внутреннего туризма, обеспечивающая прирост количества туристических поездок, в том числе для детей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  <w:t xml:space="preserve">поддержаны инициативы, направленные на развитие внутреннего и въездного туризма в Оренбургской области в рамках предоставления единой субсидии из федерального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  <w:t xml:space="preserve">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 w:right="8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число туристских поездок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50"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Региональный проект «Повышение доступности туристических продуктов»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 w:right="8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Здорова Елена Сергеевна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– куратор)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50"/>
        </w:trPr>
        <w:tc>
          <w:tcPr>
            <w:gridSpan w:val="3"/>
            <w:shd w:val="clear" w:color="auto" w:fill="ffffff"/>
            <w:tcW w:w="792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7528" w:type="dxa"/>
            <w:textDirection w:val="lrTb"/>
            <w:noWrap w:val="false"/>
          </w:tcPr>
          <w:p>
            <w:pPr>
              <w:ind w:left="160" w:right="8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Срок реализации: 2023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50"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Гражданам с целью отдыха и поддержания здоровья обеспечена доступность поездок по стране в условиях комфортной и безопасной туристической среды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осуществление поддержки и продвижения событийного мероприятия «XVI Международный кинофестиваль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Восток&amp;Запад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 Классика и Авангард»;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осуществление поддержки по оказанию государственной услуги «Создание условий в Оренбургской области для обе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спечения отдельных категорий граждан возможностью путешествовать с целью развития туристского потенциала Российской Федерации» для учащихся 5 - 9 классов с целью осуществления бесплатных поездок по туристическим маршрутам на территории Оренбургской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туристский поток в Оренбургскую область;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 w:right="8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Комплекс процессных мероприятий «Повышение эффективности государственного управления социально-экономическим развитием области»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shd w:val="clear" w:color="auto" w:fill="ffffff"/>
            <w:tcW w:w="6237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shd w:val="clear" w:color="auto" w:fill="ffffff"/>
            <w:tcW w:w="9214" w:type="dxa"/>
            <w:vAlign w:val="center"/>
            <w:textDirection w:val="lrTb"/>
            <w:noWrap w:val="false"/>
          </w:tcPr>
          <w:p>
            <w:pPr>
              <w:ind w:left="16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качества и доступности предоставления государственных и муниципальных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возможность получения государственных и муниципальных услуг по принципу «одного окна» по месту пребывания заявителей в ГАУ «МФЦ»;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выполнение государственного задания ГАУ «МФЦ» на оказание государственных и муниципальных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Оценка эффективности деятельности органов местного самоуправления муниципальных, городских округов и муниципальных районов Оренбургской области в целях содействия достижению наилучших результатов значений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показателей деятельности, утвержденных постановлением Правительства Российской Фед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ерации от 17 декабря 2012 года № 1317 «О мерах по реализации Указа Президента Российской Федерации от 28 апреля 2008 г. № 607 «Об оценке эффективности деятельности органов местного самоуправления муниципальных, городских округов и муниципальных районов» и </w:t>
            </w:r>
            <w:hyperlink r:id="rId11" w:tooltip="https://login.consultant.ru/link/?req=doc&amp;base=LAW&amp;n=129336&amp;dst=100035" w:history="1">
              <w:r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  <w:highlight w:val="none"/>
                </w:rPr>
                <w:t xml:space="preserve">подпункта «и» пункта 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Указа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эффективности и состязательности деятельности органов местного самоуправления муниципальных, городских округов и муниципальных районов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Развитие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выставочно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-ярмарочной и кон-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грессной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деятельности в Оренбургской об-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развитие межрегиональных и внешнеэкономических связей области;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активизация процесса привлечения инвестиций в экономику области;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позиционирование достижений области в отраслях экономики;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привлечение внимания деловых кругов Российской Федерации и за рубежом к инвестиционному потенциалу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объем инвестиций, привлеченных в Оренбургскую область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.4.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эффективно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сти использования бюджетных средств и качества обеспечения государственных и муниципальных нужд Оренбургской области, а также эффективности использования средств, используемых при осуществлении закупок заказчиками в соответствии с Федеральным законом № 223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noBreakHyphen/>
              <w:t xml:space="preserve">ФЗ, за счет автоматизации процессов планирования и осуществления закупок товаров, работ, услуг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бесперебойного функционирования региональной информационной системы, обеспечивающей планирование и осуществление закупок товаров, работ, услуг, ее техническое сопровождение;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централизация закупок для обеспечения соблюдения законодательства в сфере закупок и эффективного использования бюджетных средств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деятельности министерства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6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текущей деятельности министерства; повышение эффективности использования бюджетных средств, выделяемых минэкономразвития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Комплекс процессных мероприятий «Развитие инвестиционной деятельности в Оренбургской области»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W w:w="818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инвестиционной привлекательности Оренбургской области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создание благоприятного инвестиционного климата Оренбургской области;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реализация региональных мер поддержки в виде предоставления налоговых льгот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инвестиций в основной капитал в 2030 году не ниже 170 процентов по отношению к 2020 году;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объем инвестиций, привлеченных в Оренбургскую область;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заключенных с инвесторами соглашений о намерении сотрудничества при реализации инвестиционных проектов на территории Оренбургской области;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объем налоговых доходов от реализации новых инвестиционных проектов, направленных в федеральный бюджет;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вводимых в эксплуатацию объектов инфраструктуры особой экономической зоны промышленно-производственного типа «Оренбуржье»;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рабочих мест, созданных акционерным обществом «Особая экономическая зона промышленно-производственного типа «Оренбуржье»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45"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Стимулирование реализации инвестиционных проектов на территории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инвестиционной активности предприятий и организаций области, развитие территорий с преференциальными режимами (ОЭЗ, ТОР)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инвестиций в основной капитал в 2030 году не ниже 170 процентов по отношению к 2020 году;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объем инвестиций, привлеченных в Оренбургскую область;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заключенных с инвесторами соглашений о намерении сотрудничества при реализации инвестиционных проектов на территории Оренбургской области;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объем налоговых доходов от реализации новых инвестиционных проектов, направленных в федеральный бюджет;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вводимых в эксплуатацию объектов инфраструктуры особой экономической зоны промышленно-производственного типа «Оренбуржье»;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количество рабочих мест,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созданных акционерным обществом «Особая экономическая зона промышленно-производственного типа «Оренбуржье».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Комплекс процессных мероприятий «Государственная поддержка организаций, образующих инфраструктуру поддержки субъектов малого и среднего предпринимательства»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W w:w="818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Оказание мер поддержки субъектам МСП  и обеспечение деятельности  организаций, образующих инфраструктуру поддержки предпринимательства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доступности мер государственной поддержки для субъектов МСП;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финансовое обеспечение деятельности АНО «Центр поддержки предпринимательства и развития экспорта Оренбургской области», связанной с организацией и реализацией мероприятий по оказанию комплекса услуг, сервисов и мер поддержки субъектам 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доля субъектов МСП, превысивших предельные значения для определения категорий субъектов МСП (микро-, малые, средние)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Комплекс процессных мероприятий «Поддержка малого и среднего предпринимательства»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right w:val="single" w:color="auto" w:sz="4" w:space="0"/>
            </w:tcBorders>
            <w:tcW w:w="818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Оказание услуг и мер поддержки субъектам МСП и гражданам, желающим вести бизнес организациями инфраструктуры поддержки малого и среднего предпринимательства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доступности мер государственной поддержки для субъектов МСП;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предоставление субъектам МСП финансовой поддержки в виде гранта;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доступа субъектов МСП к экспортной поддержке.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доля субъектов МСП, превысивших предельные значения для определения категорий субъектов МСП (микро-, малые, средние)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14.2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Поощрение муниципальных команд по итогам рейтинга экономического развития муниципальных образований</w:t>
            </w:r>
            <w:bookmarkStart w:id="0" w:name="_GoBack"/>
            <w:r>
              <w:rPr>
                <w:color w:val="000000" w:themeColor="text1"/>
                <w:highlight w:val="none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предоставление дотаций бюджетам муниципальных образований на поощрение муниципальных команд по итогам рейтинга экономического развития муниципальных образований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  <w:t xml:space="preserve">доля субъектов МСП, превысивших предельные значения для определения категорий субъектов МСП (микро-, малые, средние)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Комплекс процессных мероприятий «Организация и проведение мероприятий в сфере туризма»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right w:val="single" w:color="auto" w:sz="4" w:space="0"/>
            </w:tcBorders>
            <w:tcW w:w="818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262" w:type="dxa"/>
            <w:textDirection w:val="lrTb"/>
            <w:noWrap w:val="false"/>
          </w:tcPr>
          <w:p>
            <w:pPr>
              <w:ind w:left="1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Популяризация туристско-рекреационного комплекса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предоставлена субсидия автономной некоммерческой организации «Центр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поддержки предпринимательства и развития экспорта Оренбургской области» на финансовое обеспечение расходов, связанных с популяризацией туристско-рекреационного комплекса Оренбургской области, организацией и проведением мероприятий в сфере развития туризма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туристский поток в Оренбургскую область;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Продвижение туристско-рекреационного потенциала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туристский поток в Оренбургскую область;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валового регионального продукта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Комплекс процессных мероприятий «Развитие торговли Оренбургской области»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W w:w="818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сельского хозяйства, торговли, пищевой и перерабатывающей промышленности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ffffff"/>
            <w:tcW w:w="7262" w:type="dxa"/>
            <w:textDirection w:val="lrTb"/>
            <w:noWrap w:val="false"/>
          </w:tcPr>
          <w:p>
            <w:pPr>
              <w:ind w:left="1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Развитие сельской торговли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наиболее полное удовлетворение потребностей населения отдаленных, труднодоступных и малонаселенных пунктов в социально значимых товарах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оборота розничной торговли (к уровню предыдущего года в сопоставимых ценах)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92"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качества торгового обслуживания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получение оценки соответствия предприятия общественного питания по типам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оборота розничной торговли (к уровню предыдущего года в сопоставимых ценах)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92"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16.3.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Содействие товаропроизводителям, крестьянским (фермерским) хозяйствам в реализации произведенной ими продукции путем организации нестационарной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мобильной торговли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развитие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многоформатной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торговли;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физической доступности товаров на потребительском рынке области;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расширение рынков сбыта продукции местных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товаропроизводителей, крестьянских (фермерских) хозяйств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оборота розничной торговли (к уровню предыдущего года в сопоставимых ценах)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92"/>
        </w:trPr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16.4.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5139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Содействие в распространении населению печатной продукции через различные форматы  торговли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ffffff"/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обеспечение доступности приобретения населением печатной продукции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оборота розничной торговли (к уровню предыдущего года в сопоставимых ценах)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ffffff"/>
            <w:tcW w:w="14353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Комплекс процессных мероприятий «Развитие рекламы и нестационарных торговых объектов на территории муниципального образования город Оренбург»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shd w:val="clear" w:color="auto" w:fill="ffffff"/>
            <w:tcW w:w="8115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Ответственный за реализацию: министерство архитектуры и пространственно-градостроительного развития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ffffff"/>
            <w:tcW w:w="7336" w:type="dxa"/>
            <w:textDirection w:val="lrTb"/>
            <w:noWrap w:val="false"/>
          </w:tcPr>
          <w:p>
            <w:pPr>
              <w:ind w:left="1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1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ind w:left="16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Обеспечение деятельности государственного учреждения в сфере рекламы и в области регулирования торговой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5403" w:type="dxa"/>
            <w:textDirection w:val="lrTb"/>
            <w:noWrap w:val="false"/>
          </w:tcPr>
          <w:p>
            <w:pPr>
              <w:ind w:left="16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наличие актуальных схем размещения рекламных конструкций и нестационарных торговых объектов на территории муниципального образования город Оренбург Оренбургской области;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создание эффективной структуры управления и контроля за развитием рынка наружной рекламы на территории муниципального образования город Оренбург Оренбургской области;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совершенствование условий использования городского рекламного пространства и размещения нестационарных торговых объектов;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установление единых требований к внешнему виду рекламных конструкций на территориях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сложившейся застройки муниципального образования город Оренбург Оренбургской области.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11" w:type="dxa"/>
            <w:textDirection w:val="lrTb"/>
            <w:noWrap w:val="false"/>
          </w:tcPr>
          <w:p>
            <w:pPr>
              <w:ind w:left="1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индекс физического объема оборота розничной торговли (к уровню предыдущего года в сопоставимых ценах)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sectPr>
      <w:headerReference w:type="default" r:id="rId9"/>
      <w:footnotePr/>
      <w:endnotePr/>
      <w:type w:val="nextPage"/>
      <w:pgSz w:w="16838" w:h="11906" w:orient="landscape"/>
      <w:pgMar w:top="850" w:right="1134" w:bottom="1701" w:left="1134" w:header="283" w:footer="2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29718407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4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4"/>
    <w:next w:val="854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5"/>
    <w:link w:val="700"/>
    <w:uiPriority w:val="10"/>
    <w:rPr>
      <w:sz w:val="48"/>
      <w:szCs w:val="48"/>
    </w:rPr>
  </w:style>
  <w:style w:type="paragraph" w:styleId="702">
    <w:name w:val="Subtitle"/>
    <w:basedOn w:val="854"/>
    <w:next w:val="854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5"/>
    <w:link w:val="702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5"/>
    <w:link w:val="868"/>
    <w:uiPriority w:val="99"/>
  </w:style>
  <w:style w:type="character" w:styleId="709">
    <w:name w:val="Footer Char"/>
    <w:basedOn w:val="855"/>
    <w:link w:val="870"/>
    <w:uiPriority w:val="99"/>
  </w:style>
  <w:style w:type="paragraph" w:styleId="710">
    <w:name w:val="Caption"/>
    <w:basedOn w:val="854"/>
    <w:next w:val="854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5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character" w:styleId="839">
    <w:name w:val="Footnote Text Char"/>
    <w:link w:val="858"/>
    <w:uiPriority w:val="99"/>
    <w:rPr>
      <w:sz w:val="18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footnote text"/>
    <w:basedOn w:val="854"/>
    <w:link w:val="859"/>
    <w:semiHidden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59" w:customStyle="1">
    <w:name w:val="Текст сноски Знак"/>
    <w:basedOn w:val="855"/>
    <w:link w:val="858"/>
    <w:semiHidden/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footnote reference"/>
    <w:semiHidden/>
    <w:rPr>
      <w:rFonts w:cs="Times New Roman"/>
      <w:vertAlign w:val="superscript"/>
    </w:rPr>
  </w:style>
  <w:style w:type="character" w:styleId="861">
    <w:name w:val="annotation reference"/>
    <w:basedOn w:val="855"/>
    <w:uiPriority w:val="99"/>
    <w:semiHidden/>
    <w:unhideWhenUsed/>
    <w:rPr>
      <w:sz w:val="16"/>
      <w:szCs w:val="16"/>
    </w:rPr>
  </w:style>
  <w:style w:type="paragraph" w:styleId="862">
    <w:name w:val="annotation text"/>
    <w:basedOn w:val="854"/>
    <w:link w:val="86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3" w:customStyle="1">
    <w:name w:val="Текст примечания Знак"/>
    <w:basedOn w:val="855"/>
    <w:link w:val="862"/>
    <w:uiPriority w:val="99"/>
    <w:semiHidden/>
    <w:rPr>
      <w:sz w:val="20"/>
      <w:szCs w:val="20"/>
    </w:rPr>
  </w:style>
  <w:style w:type="paragraph" w:styleId="864">
    <w:name w:val="annotation subject"/>
    <w:basedOn w:val="862"/>
    <w:next w:val="862"/>
    <w:link w:val="865"/>
    <w:uiPriority w:val="99"/>
    <w:semiHidden/>
    <w:unhideWhenUsed/>
    <w:rPr>
      <w:b/>
      <w:bCs/>
    </w:rPr>
  </w:style>
  <w:style w:type="character" w:styleId="865" w:customStyle="1">
    <w:name w:val="Тема примечания Знак"/>
    <w:basedOn w:val="863"/>
    <w:link w:val="864"/>
    <w:uiPriority w:val="99"/>
    <w:semiHidden/>
    <w:rPr>
      <w:b/>
      <w:bCs/>
      <w:sz w:val="20"/>
      <w:szCs w:val="20"/>
    </w:rPr>
  </w:style>
  <w:style w:type="paragraph" w:styleId="866">
    <w:name w:val="Balloon Text"/>
    <w:basedOn w:val="854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855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>
    <w:name w:val="Header"/>
    <w:basedOn w:val="854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55"/>
    <w:link w:val="868"/>
    <w:uiPriority w:val="99"/>
  </w:style>
  <w:style w:type="paragraph" w:styleId="870">
    <w:name w:val="Footer"/>
    <w:basedOn w:val="854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5"/>
    <w:link w:val="8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129336&amp;dst=1000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CC84C54A-5B65-4048-95F1-69332C5297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Правительство Оренбургской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esto</cp:lastModifiedBy>
  <cp:revision>26</cp:revision>
  <dcterms:created xsi:type="dcterms:W3CDTF">2025-01-17T06:27:00Z</dcterms:created>
  <dcterms:modified xsi:type="dcterms:W3CDTF">2025-07-31T10:16:30Z</dcterms:modified>
</cp:coreProperties>
</file>