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199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  <w:t xml:space="preserve">Приложение № 7 к протоколу</w:t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ind w:left="11199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  <w:t xml:space="preserve">заседания Управляющего совета </w:t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ind w:left="11199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  <w:t xml:space="preserve">государственной программы «Экономическое развитие Оренбургской области»</w:t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ind w:left="11199" w:firstLine="0"/>
        <w:jc w:val="left"/>
        <w:spacing w:line="259" w:lineRule="auto"/>
        <w:widowControl/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  <w:lang w:eastAsia="en-US"/>
        </w:rPr>
        <w:t xml:space="preserve">от___________№__________                    </w:t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2"/>
          <w:szCs w:val="22"/>
          <w:highlight w:val="none"/>
        </w:rPr>
      </w:r>
    </w:p>
    <w:p>
      <w:pPr>
        <w:pStyle w:val="875"/>
        <w:jc w:val="right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875"/>
        <w:jc w:val="center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Сведения о методике расчета показателей государственной программы и результатов структурных элементов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875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tbl>
      <w:tblPr>
        <w:tblpPr w:horzAnchor="text" w:tblpXSpec="left" w:vertAnchor="text" w:tblpY="1" w:leftFromText="180" w:topFromText="0" w:rightFromText="180" w:bottomFromText="0"/>
        <w:tblW w:w="15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041"/>
        <w:gridCol w:w="1343"/>
        <w:gridCol w:w="1881"/>
        <w:gridCol w:w="2552"/>
        <w:gridCol w:w="1612"/>
        <w:gridCol w:w="1750"/>
        <w:gridCol w:w="1343"/>
        <w:gridCol w:w="1514"/>
      </w:tblGrid>
      <w:tr>
        <w:tblPrEx/>
        <w:trPr>
          <w:trHeight w:val="1178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Наименование показателя (результат)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Уровень показателя/источник результата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 измерения показателя (результата)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Алгоритм формирования (формула) и методологические пояснения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Базовые показатели (используемые в формуле)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 сбора информации, индекс формы отчетности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31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Ответственный за сбор данных по показателю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Источник данных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Срок представления годовой отчетной информации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Доля предприятий, достигших ежегодного 5%-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Минэкономразвития России от 23.12.2024 № 814 «Об утверждении методики расчета показателя «Доля предприятий, достигших ежегодного 5%-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прироста производительности труда на предприятиях - участниках, внедряющих мероприятия по повышению производительности труда под федеральным и региональным управлением»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предприятий, достигших ежегодного 5%-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прироста производительности труда по результатам внедрения мероприятий по повышению производительности труда под федеральным и региональным управлением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 (письмо от Минэкономразвития России)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388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Доля предприятий, достигших ежегодный 5% прирост производительности труда на предприятиях участниках, внедряющих мероприятия национального проекта под федеральным и региональным управлением в течении трех лет участия в проекте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«Производительность труда»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предприятий, достигших ежегодный 5% прирост производительности труда на предприятиях участниках, внедряющих мероприятия национального проекта под федеральным и региональным управлением в течении трех лет участия в проекте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предприятий-участников, вовлеченных в национальный проект через получение адресной поддержки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"Производительность труда"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предприятий-участников, вовлеченных в национальный проект через получение адресной поддержки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сотрудников предприятий и представителей региональных команд, прошедших обучение инструментам повышения производительности труда,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"Производительность труда"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сотрудников предприятий и представителей региональных команд, прошедших обучение инструментам повышения производительности труда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предприятий-участников, внедряющих мероприятия национального проекта самостоятельно,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"Производительность труда"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предприятий-участников, внедряющих мероприятия национального проекта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предприятий-участников, внедряющих мероприятия национального проекта под федеральным управлением (с ФЦК),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"Производительность труда"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предприятий-участников, внедряющих мероприятия национального проекта под федеральным управлением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"Производительность труда"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 региональных центров компетенций, созданных в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Удовлетворенность предприятий работой региональных центров компетенций (доля предприятий, удовлетворенных работой названных центров)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отчетов, представляемых ежеквартально, 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(далее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предприятий, удовлетворенных работой центров компетенций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», утвержденный постановлением Правительства РФ от 25.10.2023 N 1780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39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сотрудников предприятий, прошедших обучение инструментам повышения производительности труда под региональным управлением (с РЦК),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показателя получена по данным отчетов, представляемых ежеквартально,  АНО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сотрудников предприятий, прошедших обучение инструментам повышения производительности труда под региональным управлением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  утвержденный постановлением Правительства РФ от 25.10.2023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№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сотрудников предприятий, прошедших обучение инструментам повышения производительности труда под федеральным управлением (с ФЦК),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"Производительность труда"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сотрудников предприятий, прошедших обучение инструментам повышения производительности труда под федеральным управлением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672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«Производительность труда»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12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представителей региональных команд, прошедших обучение инструментам повышения производительности труда,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от 22 ноября 2021 г.  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"Производительность труда"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представителей региональных команд, прошедших обучение инструментам повышения производительности труда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56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предприятий-участников, внедряющих мероприятия национального проекта под региональным управлением (с РЦК),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показателя получена по данным отчетов, представляемых ежеквартально,  АНО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предприятий-участников, внедряющих мероприятия национального проекта под региональным управлением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»,  утвержденный постановлением Правительства РФ от 25.10.2023 N 1780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39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подготовленных инструкторов по бережливому производству на предприятиях - участниках национального проекта под региональным управлением (с РЦК),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Министерства экономического развития РФ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 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ноября 2021 г. № 690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 утверждении методик расчета показателей федерального проекта «Адресная поддержка повышения производительности труда на предприятиях», входящего в структуру национального проекта "Производительность труда"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подготовленных инструкторов по бережливому производству на предприятиях - участниках национального проекта под региональным управлением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»,  утвержденный постановлением Правительства РФ от 25.10.2023 N 1780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 w:hRule="exact"/>
        </w:trPr>
        <w:tc>
          <w:tcPr>
            <w:shd w:val="clear" w:color="auto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Численность занятых в сфере малого и среднего предпринимательства, включая индивидуальных предпринимателей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тысяча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vMerge w:val="restart"/>
            <w:textDirection w:val="lrTb"/>
            <w:noWrap w:val="false"/>
          </w:tcPr>
          <w:p>
            <w:pPr>
              <w:ind w:right="11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ЧЗмсп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Рюл+Рип+ИП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НПД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Приказ Министерства экономического развития РФ от 1.11.2022 № 594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"Об утверждении методики расчета показателя «Численность занятых в сфере малого и среднего предпринимательства, включая индивидуальных предпринимателей»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Рюл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 - количество работников юридических лиц;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vMerge w:val="restart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Министерство экономического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развития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Merge w:val="restart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Единый реестр субъектов малого и среднего предпринимательства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hyperlink r:id="rId10" w:tooltip="https://ofd.nalog.ru/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highlight w:val="none"/>
                </w:rPr>
                <w:t xml:space="preserve">https://ofd.nalo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highlight w:val="none"/>
                </w:rPr>
                <w:t xml:space="preserve">g.ru/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До 28 февраля года, следующего за 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</w:tr>
      <w:tr>
        <w:tblPrEx/>
        <w:trPr>
          <w:trHeight w:val="760" w:hRule="exact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ind w:right="112" w:firstLine="6"/>
              <w:jc w:val="center"/>
              <w:rPr>
                <w:rFonts w:ascii="Times New Roman" w:hAnsi="Times New Roman" w:cs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Рип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 - количество работников индивидуальных предпринимателей; 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686" w:hRule="exact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ind w:right="112" w:firstLine="6"/>
              <w:jc w:val="center"/>
              <w:rPr>
                <w:rFonts w:ascii="Times New Roman" w:hAnsi="Times New Roman" w:cs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ИП - количество индивидуальных предпринимателей;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1758" w:hRule="exact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ind w:right="112" w:firstLine="6"/>
              <w:jc w:val="center"/>
              <w:rPr>
                <w:rFonts w:ascii="Times New Roman" w:hAnsi="Times New Roman" w:cs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НПД - количество плательщиков налога на профессиональный доход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961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самозанятых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(НПД), накопленным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тысяча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right="113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показателя получена по данным Управления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Федеральной Налоговой Службы по Оренбургской Области (далее – УФНС) на основе запроса, направляемого минэкономразвития в адрес УФНС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самозанятых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письмо УФНС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месяца,  следующего за 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961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Доля субъектов МСП, превысивших предельные значения для определения категорий субъектов МСП (микро-, малые, средние)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right="113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00647" cy="392430"/>
                      <wp:effectExtent l="0" t="0" r="0" b="762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258799" cy="411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4.54pt;height:30.9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Методика утверждена приказом Минэкономразвития России от 31.10.2024 N 688 "Об утверждении методики расчета показателя "Доля субъектов МСП, превысивших предель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ные значения для определения категорий субъектов МСП (микро-, малые, средние)" федерального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мик,t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 - количество субъектов МСП -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микропредприятий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, превысивших предельные значения, предусмотренные для определения категории 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микропредприятие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", за отчетный год, единиц;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мал,t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 - количество субъектов МСП - малых предприятий, превысивших предельные значения, предусмотренные для определения категории "малое предпринимательство", за отчетный год, единиц;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ср,t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 - количество субъектов МСП - средних предприятий, превысивших предельные значения, предусмотренные для определения категории "среднее предпринимательство", за отчетный год, единиц;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66725" cy="238125"/>
                      <wp:effectExtent l="0" t="0" r="9525" b="9525"/>
                      <wp:docPr id="2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6.75pt;height:18.75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- количество субъектов МСП на 10 января (t0) отчетного года, единиц;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57200" cy="238125"/>
                      <wp:effectExtent l="0" t="0" r="0" b="9525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6.00pt;height:18.75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- количество субъектов МСП на 10 января (t1) года, следующего за отчетным годом, единиц;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t - отчетный год;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t0 - начало отчетного года;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t1 - конец отчетного года.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государственной информационной системы "Цифровая аналитическая платформа предоставления статистических данных"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114" w:right="53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ежегодно - не позднее 31 июля года, следующего за отчетным годом, и далее ежемесячно - не позднее 15-го рабочего дня месяца, в котором предоставляется (распространяется) информация по показателю.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38"/>
        </w:trPr>
        <w:tc>
          <w:tcPr>
            <w:shd w:val="clear" w:color="ffffff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W w:w="1881" w:type="dxa"/>
            <w:vMerge w:val="restart"/>
            <w:textDirection w:val="lrTb"/>
            <w:noWrap w:val="false"/>
          </w:tcPr>
          <w:p>
            <w:pPr>
              <w:ind w:right="113" w:firstLine="6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                       Ки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right="113" w:firstLine="6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УПсводный= —- х 100%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right="113" w:firstLine="6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                       Ои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right="113" w:firstLine="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Методика утверждена приказом Минэкономразвития России от 27.12.2024 N 851 "Об утверждении методики расчета показателя 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" федерального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 и о признании утратившим силу приказа Минэкономразвития России от 30 октября 2024 г. № 684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2552" w:type="dxa"/>
            <w:vMerge w:val="restart"/>
            <w:textDirection w:val="lrTb"/>
            <w:noWrap w:val="false"/>
          </w:tcPr>
          <w:p>
            <w:pPr>
              <w:ind w:right="113" w:firstLine="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Ки - общее количество оценок "3", "4" и "5" (по пятибалльной шкале) качества оказанных услуг в иных организациях инфраструктуры поддержки субъектов малого и среднего предпринимательства, полученных в результате опроса, за отчетн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ый период, единиц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right="113" w:firstLine="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Ои - общее количество оценок по пятибалльной шкале качества оказанных услуг в иных организациях инфраструктуры поддержки субъектов малого и среднего предпринимательства, полученных в результате опроса, за отчетный период, единиц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612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W w:w="1750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Государственная информационная система "Цифровая аналитическая платформа предоставления статистических данных"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114" w:right="53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51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Значение показателя за год принимается равным значению показателя по состоянию на последний месяц отчетного года.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Расчет показателя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ежемесячно - не позднее 5-го рабочего дня месяца, следующего за отчетным.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Российской Федерации, в которых внедрен Региональный экспортный стандарт 2.0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right="113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показателя получена по оперативным данным информационной системы АО «Российский экспортный центр» «Онлайн система мониторинга внедрения РЭС»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113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Российской Федерации,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которых внедрен Региональный экспортный стандарт 2.0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Информационная система АО «Российский экспортный центр» «Онлайн система мониторинга внедрения РЭС»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31 декабря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391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hanging="24"/>
              <w:jc w:val="center"/>
              <w:spacing w:after="0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инвестиционных проектов, поддержанных путем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строительства (реконструкции) объектов обеспечивающей инфраструктуры с  длительным сроком окупаемости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условная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right="112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утверждена приказом Федерального агентства по туризму от 12.11.2021 № 526-пр-21 «О статисти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ческой методологии расчета показателей национального проекта «Туризм и индустрия гостеприимства», федеральных проектов «Развитие туристической инфраструктуры», «Повышение доступности туристических продуктов» и «Совершенствование управления в сфере туризма»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инвестиционных проектов, поддержанных путем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строительства (реконструкции) объектов обеспечивающей инфраструктуры с  длительным сроком окупаемости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0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ind w:left="114" w:right="53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ГИС «Электронный бюджет»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094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Туристский поток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Оренбургскую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область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Ф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едеральной служба государственной статистики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от 26 февраля 2021 года № 109 «Об утверждении методики оценки туристского потока»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официального статистического наблюдения «Туристский поток» рассчитывается на основе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общего количества туристских поездок, совершенных российскими и иностранными туристами в Оренбургскую область в соответствующем финансовом году. В расчет включаются все туристы, посетившие регион, независимо от места ночевки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меры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экономического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развития, инвестиций, туризма и внешних связей Оренбургской области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https://rosstat.gov.ru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93" w:right="165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1 июня года, следующего за отчетным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389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Число туристских поездок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миллион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Ф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едеральной служба государственной статистики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от 22 мая 2023 года № 242 «Об утверждении методики формирования отдельных показателей деятельности коллективных средств размещения по полному кругу хозяйствующих субъектов с месячной периодичностью»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*При расчете в качестве базового года используются значения показателя за 2021 год.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официального статистического наблюдения «Численность размещенных лиц в коллективных средствах размещения, рассчитывается по количеству лиц, размещенных в коллективных средствах размещения Оренбургской области, по полному кругу хозяйствующих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субъектов,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соответствующем финансовом году.  В расчет включаются туристы, посетившие регион и осуществляющие минимум 1 ночевку в официальных  коллективных средствах размещения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меры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экономического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развития, инвестиций, туризма и внешних связей Оренбургской области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https://rosstat.gov.ru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93" w:right="16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26 апреля года, следующего за отчетным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389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6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туристических поездок по территории Российской Федерации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ФП НП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миллион штук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Ф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едеральной служба государственной статистики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от 22 мая 2023 года № 242 «Об утверждении методики формирования отдельных показателей деятельности коллективных средств размещения по полному кругу хозяйствующих субъектов с месячной периодичностью»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*При расчете в качестве базового года используются значения показателя за 2023 год.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официального статистического наблюдения «Численность размещенных лиц в коллективных средствах размещения, рассчитывается по количеству лиц, размещенных в коллективных средствах размещения Оренбургской области, по полному кругу хозяйствующих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субъектов,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соответствующем финансовом году.  В расчет включаются туристы, посетившие регион и осуществляющие минимум 1 ночевку в официальных  коллективных средствах размещения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меры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экономического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развития, инвестиций, туризма и внешних связей Оренбургской области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https://rosstat.gov.ru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93" w:right="16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26 апреля года, следующего за отчетным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54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 в том числе  в МФЦ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показателя получена по данным отчетов, представляемых ежеквартально ГАУ «МФЦ» Оренбург-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 в том числе  в МФЦ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 ГАУ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«МФЦ» Оренбургской области, утвержденный постановлением Правительства Оренбургской области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от 08.12.2015   № 950-п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1 февраля года, следующего за отчетным годом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394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Индекс физического объема валового регионального продукта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 процент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2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Методика расчета показателя утверждена приказом Минэкономразвития России от 13 марта 2019 года № 124 «Об утвер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ждении рекомендуемой формы по основным показателям, представляемым исполнительными органами субъектов Российской Федерации в Минэкономразвития России для раз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работки прогноза социально-экономического развития Российской Федерации на среднесрочный период, и методических рекомендаций по разработке, корректировке, мониторингу среднесрочных прогнозов социально-экономического развития субъектов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валового регионального продукта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 (сайт статистики)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0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https://rosstat.gov.ru/statistics/accounts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марта второго года, следующего за отчетным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813"/>
        </w:trPr>
        <w:tc>
          <w:tcPr>
            <w:shd w:val="clear" w:color="auto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Индекс физического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объема инвестиций в основной капитал в 2030 году не ниже 170 процентов по отношению к 2020 году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2"/>
              </w:numPr>
              <w:ind w:left="0" w:firstLine="0"/>
              <w:spacing w:line="240" w:lineRule="auto"/>
              <w:rPr>
                <w:rFonts w:ascii="Times New Roman" w:hAnsi="Times New Roman" w:eastAsia="Times NR MT Std"/>
                <w:color w:val="000000" w:themeColor="text1"/>
                <w:sz w:val="27"/>
                <w:highlight w:val="none"/>
              </w:rPr>
            </w:pPr>
            <w:r>
              <w:rPr>
                <w:rFonts w:ascii="Times New Roman" w:hAnsi="Times New Roman" w:eastAsia="Times NR MT Std"/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  <w:lang w:val="en-US"/>
              </w:rPr>
              <w:t xml:space="preserve">In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</w:rPr>
              <w:t xml:space="preserve"> =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  <w:lang w:val="en-US"/>
              </w:rPr>
              <w:t xml:space="preserve">V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</w:rPr>
              <w:t xml:space="preserve">ч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  <w:lang w:val="en-US"/>
              </w:rPr>
              <w:t xml:space="preserve">n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</w:rPr>
              <w:t xml:space="preserve"> /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  <w:lang w:val="en-US"/>
              </w:rPr>
              <w:t xml:space="preserve">V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</w:rPr>
              <w:t xml:space="preserve">ч(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  <w:lang w:val="en-US"/>
              </w:rPr>
              <w:t xml:space="preserve">n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</w:rPr>
              <w:t xml:space="preserve">-1) 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  <w:lang w:val="en-US"/>
              </w:rPr>
              <w:t xml:space="preserve">x</w:t>
            </w:r>
            <w:r>
              <w:rPr>
                <w:rFonts w:ascii="Times New Roman" w:hAnsi="Times New Roman" w:eastAsia="Times NR MT Std"/>
                <w:color w:val="000000" w:themeColor="text1"/>
                <w:highlight w:val="none"/>
              </w:rPr>
              <w:t xml:space="preserve">100</w:t>
            </w:r>
            <w:r>
              <w:rPr>
                <w:rFonts w:ascii="Times New Roman" w:hAnsi="Times New Roman" w:eastAsia="Times NR MT Std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/>
                <w:color w:val="000000" w:themeColor="text1"/>
                <w:sz w:val="27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pP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pP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pP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pP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pP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pP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  <w:r>
              <w:rPr>
                <w:rFonts w:ascii="Times New Roman" w:hAnsi="Times New Roman" w:eastAsia="Times NR MT Std" w:cs="Times New Roman"/>
                <w:color w:val="000000" w:themeColor="text1"/>
                <w:sz w:val="27"/>
                <w:highlight w:val="none"/>
              </w:rPr>
            </w:r>
          </w:p>
          <w:p>
            <w:pPr>
              <w:pStyle w:val="875"/>
              <w:numPr>
                <w:ilvl w:val="0"/>
                <w:numId w:val="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R MT Std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</w:rPr>
              <w:t xml:space="preserve"> После определения </w:t>
            </w: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I</w:t>
            </w: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  <w:vertAlign w:val="subscript"/>
                <w:lang w:val="en-US"/>
              </w:rPr>
              <w:t xml:space="preserve">n</w:t>
            </w: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  <w:vertAlign w:val="subscript"/>
              </w:rPr>
              <w:t xml:space="preserve"> </w:t>
            </w: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</w:rPr>
              <w:t xml:space="preserve">за соответствующий год определяется общий индекс физического объема инвестиций в основной капитал за расчетный период </w:t>
            </w: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I</w:t>
            </w: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  <w:vertAlign w:val="subscript"/>
                <w:lang w:val="en-US"/>
              </w:rPr>
              <w:t xml:space="preserve">n</w:t>
            </w: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  <w:vertAlign w:val="superscript"/>
                <w:lang w:val="en-US"/>
              </w:rPr>
              <w:t xml:space="preserve">b</w:t>
            </w:r>
            <w:r>
              <w:rPr>
                <w:rFonts w:ascii="Times New Roman" w:hAnsi="Times New Roman" w:eastAsia="Times NR MT Std"/>
                <w:color w:val="000000" w:themeColor="text1"/>
                <w:sz w:val="20"/>
                <w:szCs w:val="20"/>
                <w:highlight w:val="none"/>
              </w:rPr>
              <w:t xml:space="preserve">, который определяется как последовательное произведение индексов за последовательные периоды, деленное на 100 по каждому году по следующей формуле: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52525" cy="514350"/>
                      <wp:effectExtent l="0" t="0" r="0" b="0"/>
                      <wp:docPr id="4" name="Рисунок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525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0.75pt;height:40.50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R MT Std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eastAsia="Times NR MT Std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47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In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- индекс физического объема инвестиций в основной капитал за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 (сайт статистики)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50" w:type="dxa"/>
            <w:vMerge w:val="restart"/>
            <w:textDirection w:val="lrTb"/>
            <w:noWrap w:val="false"/>
          </w:tcPr>
          <w:p>
            <w:pPr>
              <w:ind w:left="147" w:right="104" w:firstLine="0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экономического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43" w:type="dxa"/>
            <w:vMerge w:val="restart"/>
            <w:textDirection w:val="lrTb"/>
            <w:noWrap w:val="false"/>
          </w:tcPr>
          <w:p>
            <w:pPr>
              <w:ind w:left="156" w:right="30" w:firstLine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https://orenstat.gks.ru/folder/31932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1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До 31 августа года, следующего за отчетным 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</w:tr>
      <w:tr>
        <w:tblPrEx/>
        <w:trPr>
          <w:trHeight w:val="928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R MT Std" w:hAnsi="Times NR MT Std" w:eastAsia="Times NR MT Std" w:cs="Times NR MT Std"/>
                <w:lang w:eastAsia="en-US"/>
              </w:rPr>
            </w:pPr>
            <w:r>
              <w:rPr>
                <w:rFonts w:ascii="Times NR MT Std" w:hAnsi="Times NR MT Std" w:eastAsia="Times NR MT Std" w:cs="Times NR MT Std"/>
                <w:lang w:eastAsia="en-US"/>
              </w:rPr>
            </w:r>
            <w:r>
              <w:rPr>
                <w:rFonts w:ascii="Times NR MT Std" w:hAnsi="Times NR MT Std" w:eastAsia="Times NR MT Std" w:cs="Times NR MT Std"/>
                <w:lang w:eastAsia="en-US"/>
              </w:rPr>
            </w:r>
            <w:r>
              <w:rPr>
                <w:rFonts w:ascii="Times NR MT Std" w:hAnsi="Times NR MT Std" w:eastAsia="Times NR MT Std" w:cs="Times NR MT Std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47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Vчn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- объем инвестиций в основной капитал за отчетный год в сопоставимых ценах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750" w:type="dxa"/>
            <w:vMerge w:val="continue"/>
            <w:textDirection w:val="lrTb"/>
            <w:noWrap w:val="false"/>
          </w:tcPr>
          <w:p>
            <w:pPr>
              <w:ind w:left="147" w:firstLine="0"/>
              <w:jc w:val="center"/>
              <w:spacing w:line="276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ind w:left="93" w:right="165" w:firstLine="0"/>
              <w:jc w:val="center"/>
              <w:spacing w:line="276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5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012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R MT Std" w:hAnsi="Times NR MT Std" w:eastAsia="Times NR MT Std" w:cs="Times NR MT Std"/>
                <w:lang w:eastAsia="en-US"/>
              </w:rPr>
            </w:pPr>
            <w:r>
              <w:rPr>
                <w:rFonts w:ascii="Times NR MT Std" w:hAnsi="Times NR MT Std" w:eastAsia="Times NR MT Std" w:cs="Times NR MT Std"/>
                <w:lang w:eastAsia="en-US"/>
              </w:rPr>
            </w:r>
            <w:r>
              <w:rPr>
                <w:rFonts w:ascii="Times NR MT Std" w:hAnsi="Times NR MT Std" w:eastAsia="Times NR MT Std" w:cs="Times NR MT Std"/>
                <w:lang w:eastAsia="en-US"/>
              </w:rPr>
            </w:r>
            <w:r>
              <w:rPr>
                <w:rFonts w:ascii="Times NR MT Std" w:hAnsi="Times NR MT Std" w:eastAsia="Times NR MT Std" w:cs="Times NR MT Std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47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V ч(n-1) - объем инвестиций в основной капитал за предыдущий год в сопоставимых ценах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750" w:type="dxa"/>
            <w:vMerge w:val="continue"/>
            <w:textDirection w:val="lrTb"/>
            <w:noWrap w:val="false"/>
          </w:tcPr>
          <w:p>
            <w:pPr>
              <w:ind w:left="147" w:firstLine="0"/>
              <w:jc w:val="center"/>
              <w:spacing w:line="276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ind w:left="93" w:right="165" w:firstLine="0"/>
              <w:jc w:val="center"/>
              <w:spacing w:line="276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5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82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R MT Std" w:hAnsi="Times NR MT Std" w:eastAsia="Times NR MT Std" w:cs="Times NR MT Std"/>
                <w:lang w:eastAsia="en-US"/>
              </w:rPr>
            </w:pPr>
            <w:r>
              <w:rPr>
                <w:rFonts w:ascii="Times NR MT Std" w:hAnsi="Times NR MT Std" w:eastAsia="Times NR MT Std" w:cs="Times NR MT Std"/>
                <w:lang w:eastAsia="en-US"/>
              </w:rPr>
            </w:r>
            <w:r>
              <w:rPr>
                <w:rFonts w:ascii="Times NR MT Std" w:hAnsi="Times NR MT Std" w:eastAsia="Times NR MT Std" w:cs="Times NR MT Std"/>
                <w:lang w:eastAsia="en-US"/>
              </w:rPr>
            </w:r>
            <w:r>
              <w:rPr>
                <w:rFonts w:ascii="Times NR MT Std" w:hAnsi="Times NR MT Std" w:eastAsia="Times NR MT Std" w:cs="Times NR MT Std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47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бn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- индекс физического объема инвестиций в основной капитал в год n к базовому значению (значению 2020 года)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750" w:type="dxa"/>
            <w:vMerge w:val="continue"/>
            <w:textDirection w:val="lrTb"/>
            <w:noWrap w:val="false"/>
          </w:tcPr>
          <w:p>
            <w:pPr>
              <w:ind w:left="147" w:firstLine="0"/>
              <w:jc w:val="center"/>
              <w:spacing w:line="276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ind w:left="93" w:right="165" w:firstLine="0"/>
              <w:jc w:val="center"/>
              <w:spacing w:line="276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5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54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R MT Std" w:hAnsi="Times NR MT Std" w:eastAsia="Times NR MT Std" w:cs="Times NR MT Std"/>
                <w:lang w:eastAsia="en-US"/>
              </w:rPr>
            </w:pPr>
            <w:r>
              <w:rPr>
                <w:rFonts w:ascii="Times NR MT Std" w:hAnsi="Times NR MT Std" w:eastAsia="Times NR MT Std" w:cs="Times NR MT Std"/>
                <w:lang w:eastAsia="en-US"/>
              </w:rPr>
            </w:r>
            <w:r>
              <w:rPr>
                <w:rFonts w:ascii="Times NR MT Std" w:hAnsi="Times NR MT Std" w:eastAsia="Times NR MT Std" w:cs="Times NR MT Std"/>
                <w:lang w:eastAsia="en-US"/>
              </w:rPr>
            </w:r>
            <w:r>
              <w:rPr>
                <w:rFonts w:ascii="Times NR MT Std" w:hAnsi="Times NR MT Std" w:eastAsia="Times NR MT Std" w:cs="Times NR MT Std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47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 t – 2021….2030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vMerge w:val="continue"/>
            <w:textDirection w:val="lrTb"/>
            <w:noWrap w:val="false"/>
          </w:tcPr>
          <w:p>
            <w:pPr>
              <w:ind w:left="147" w:firstLine="0"/>
              <w:jc w:val="center"/>
              <w:spacing w:line="276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ind w:left="93" w:right="165" w:firstLine="0"/>
              <w:jc w:val="center"/>
              <w:spacing w:line="276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29"/>
        </w:trPr>
        <w:tc>
          <w:tcPr>
            <w:shd w:val="clear" w:color="auto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Индекс физического объема оборота розничной торговли (к уровню предыдущего года в сопоставимых ценах)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ИФО ОРТ =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rtl/>
              </w:rPr>
              <w:t xml:space="preserve">﴾﴾</w:t>
            </w:r>
            <m:oMath>
              <m:f>
                <m:fPr>
                  <m:ctrlPr>
                    <w:rPr>
                      <w:rFonts w:hint="default" w:ascii="Cambria Math" w:hAnsi="Cambria Math" w:eastAsia="Cambria Math" w:cs="Cambria Math"/>
                      <w:i/>
                      <w:color w:val="000000" w:themeColor="text1"/>
                      <w:sz w:val="20"/>
                      <w:szCs w:val="20"/>
                      <w:highlight w:val="none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highlight w:val="none"/>
                    </w:rPr>
                    <m:rPr/>
                    <m:t>ОРТ баз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highlight w:val="none"/>
                    </w:rPr>
                    <m:rPr/>
                    <m:t>ОРТ пред</m:t>
                  </m:r>
                </m:den>
              </m:f>
            </m:oMath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× 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rtl/>
              </w:rPr>
              <w:t xml:space="preserve">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vertAlign w:val="subscript"/>
              </w:rPr>
              <w:t xml:space="preserve">деф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rtl/>
              </w:rPr>
              <w:t xml:space="preserve">﴿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×100%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singl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ИФО ОРТ – индекс физического объема оборота розничной торговли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vertAlign w:val="subscript"/>
              </w:rPr>
              <w:t xml:space="preserve">баз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– оборот розничной торговли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базовом периоде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 (сайт статистики)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Минсельхоз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сборник «Социально– экономическое положение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области»,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orenstat.gks.ru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3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Index of/stat.orb.ru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Февраль года, следующего за отчетным (оперативные данные)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май года, следующего за отчетным (уточненные данные)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660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vertAlign w:val="subscript"/>
              </w:rPr>
              <w:t xml:space="preserve">пред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– оборот розничной торговли в предыдущем периоде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vertAlign w:val="subscript"/>
              </w:rPr>
              <w:t xml:space="preserve">деф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– индекс-дефлятор в базовом периоде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Объем инвестиций, привлеченных в Оренбургскую область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показа-теля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Объем инвестиций, привлеченных в Оренбургскую область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АНО «Центр поддержки предпринимательства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 развития экспорта Оренбургской области»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920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заключенных с инвесторами соглашений о намерении сотрудничества при реализации инвестиционных проектов на территории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показа-теля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заключенных с инвесторами соглашений о намерении сотрудничества при реализации инвестиционных проектов на территории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АНО «Центр поддержки предпринимательства и развития экспорта Оренбургской области»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920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Объем налоговых доходов от реализации новых инвестиционных проектов, направленных в 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показа-теля представлена без 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чета налога на добавленную стоимость, фактически возмещенного в соответствии с законодательством Российской Федерации, и получена по данным отчетов о достижении значений показателей результативности АО «ОЭЗ ППТ «Оренбуржье»,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Объем налоговых доходов от реализации новых инвестиционных проектов, направленных в федеральный бюджет,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без учета налога на добавленную стоимость, фактически возмещенного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показателей результативности АО «ОЭЗ ППТ «Оренбуржье»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 рабочего дня года,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920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вводимых в эксплуатацию объектов инфраструктуры ОЭЗ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показа-теля получена по данным отчетов о достижении значений показателей результативности АО «ОЭЗ ППТ «Оренбуржье»,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вводимых в эксплуатацию объектов инфраструктуры ОЭЗ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 показателей результативности АО «ОЭЗ ППТ «Оренбуржье»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 рабочего дня года,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920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рабочих мест, созданных АО «ОЭЗ ППТ «Оренбуржье»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отчета АО «ОЭЗ ППТ «Оренбуржье» о функциони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ровании особой экономической зоны промышленно-производственного типа «Оренбуржье», созданной на территориях муниципальных образований «город Оренбург» и «Город Орск» Оренбургской области, представляемых ежеквартально, и представлена нарастающим итогом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рабочих мест, созданных АО «ОЭЗ ППТ «Оренбуржье»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 АО «ОЭЗ ППТ «Оренбуржье» 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функционировании особой экономической зоны промышленно-производственного типа «Оренбуржье», созданной на территориях муниципальных образований «город Оренбург» и «Город Орск» Оренбургской области,  по форме, утвержденной соглашением с  Минэкономразвития РФ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мая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02"/>
        </w:trPr>
        <w:tc>
          <w:tcPr>
            <w:gridSpan w:val="10"/>
            <w:shd w:val="clear" w:color="auto" w:fill="ffffff"/>
            <w:tcW w:w="15583" w:type="dxa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1  «Адресная поддержка повышения производительности труда на предприятиях»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«Реализованы проекты по повышению производительности труда на предприятиях-участниках национального проекта по направлению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«Бережливое производство» с помощью созданной региональной инфраструктуры обеспечения повышения производительности труда. Нарастающий итог»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сайта производи-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тельность.рф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на котором информация размещается региональным центром компетенций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проектов по повышению производительности труда на предприятиях-участниках национального проекта по направлению «Бережливое производство» с помощью созданной региональной инфраструктуры обеспечения повышения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производительности труда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 (сайт)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W w:w="15583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2  «Производительность труда»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«Реализованы проекты по повышению производительности труда по направлению «Бережливое производство» с помощью созданной региональной инфраструктуры обеспечения повышения производительности труда на предприятиях-участниках федерального проекта»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сайта производи-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тельность.рф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на котором информация размещается региональным центром компетенций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проектов по повышению производительности труда по направлению «Бережливое производство»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 (данные сайта производи-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тельность.рф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https://производительность.рф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W w:w="15583" w:type="dxa"/>
            <w:textDirection w:val="lrTb"/>
            <w:noWrap w:val="false"/>
          </w:tcPr>
          <w:p>
            <w:pPr>
              <w:ind w:left="130" w:right="85"/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highlight w:val="none"/>
              </w:rPr>
              <w:t xml:space="preserve">Региональный проект 3 «Малое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Times New Roman" w:hAnsi="Times New Roman" w:cs="Times New Roman"/>
                <w:b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33" w:right="9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Align w:val="center"/>
            <w:textDirection w:val="lrTb"/>
            <w:noWrap w:val="false"/>
          </w:tcPr>
          <w:p>
            <w:pPr>
              <w:ind w:left="274" w:right="13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миллиард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  некоммерческой организации «Гарантийный фонд для субъектов малого и среднего предпринимательства Оренбургской области», представляемых ежеквартально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финансовой поддержки, предоставленной начинающим предпринимателям (кредиты, лизинг, займы), обеспеченной поручительствами и независимыми гарантиями региональных РГО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Данные некоммерческой организации «Гарантийный фонд для субъектов малого и среднего предпринимательства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месяца, следующего за 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33" w:right="9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 среднего предпринимательства обеспечен льготный доступ к заемным средствам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Align w:val="center"/>
            <w:textDirection w:val="lrTb"/>
            <w:noWrap w:val="false"/>
          </w:tcPr>
          <w:p>
            <w:pPr>
              <w:ind w:left="274" w:right="13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миллион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НМКК «Оренбургский областной фонд поддержки малого предпринимательства», представляемых ежеквартально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выданных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ежегодно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7 -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Письмо НМК «Орен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бургский областной фонд поддержки малого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месяца, следую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щего за 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33" w:right="90" w:hanging="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274" w:right="130" w:firstLine="0"/>
              <w:jc w:val="center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самозанятых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граждан, получивших услуги,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прошедших программы обучения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87" w:right="7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2"/>
        </w:trPr>
        <w:tc>
          <w:tcPr>
            <w:gridSpan w:val="10"/>
            <w:shd w:val="clear" w:color="auto" w:fill="ffffff"/>
            <w:tcBorders>
              <w:right w:val="single" w:color="000000" w:sz="6" w:space="0"/>
            </w:tcBorders>
            <w:tcW w:w="15583" w:type="dxa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4 «Акселерация субъектов малого и среднего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63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инимательства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(количество субъектов малого и среднего предпринимательства, получивших комплексные услуги)»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343" w:type="dxa"/>
            <w:textDirection w:val="lrTb"/>
            <w:noWrap w:val="false"/>
          </w:tcPr>
          <w:p>
            <w:pPr>
              <w:ind w:left="74" w:right="10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74" w:right="10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hanging="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малого и среднего предпринимательства, получивших комплексные услуги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утвержденный Постановлением № 480-пп от 15.06.2021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2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23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среднего предпринимательства обеспечен льготный доступ к заемным средствам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организаций (количество действующих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выданных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организацией)»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343" w:type="dxa"/>
            <w:textDirection w:val="lrTb"/>
            <w:noWrap w:val="false"/>
          </w:tcPr>
          <w:p>
            <w:pPr>
              <w:ind w:left="74" w:right="10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74" w:right="10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нии результата получена по данным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НМК «Оренбург-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областной фонд поддержки малого предпринимательства»»,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действующих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выданных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организацией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данные НМК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«Оренбургский областной фонд поддержки малого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месяца, следующего за  отчетным 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63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предпринимательства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обеспечено предоставление поручительств (независимых гарантий) региональными гарантийными организациями (объем финансовой поддержки, оказанной субъектам малого и среднего предпринимательства, при гарантийной поддержке региональных гарантийных организаций)»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миллион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 результата получена по данным  некоммерческой организации «Гарантийный фонд для субъектов малого и среднего предпринимательства Оренбургской области»,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финансовой поддержки, оказанной субъектам малого и среднего предпринимательства, при гарантийной поддержке региональных гарантийных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данные  некоммерческой организации «Гарантийный фонд для субъектов малого и среднего предпринимательства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месяца, следующего за  отчетным 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63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«Субъектами малого и среднего предпринимательства осуществлен экспорт товаров (работ, услуг) при поддержке центров поддержки экспорта (количество субъектов малого и среднего предпринимательства-экспортеров, заключивших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экспортные контракты по результатам услуг центров поддержки экспорта)»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малого и среднего предпринимательства-экспортеров, заключивших экспортные контракты по результатам услуг центров поддержки экспорта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утвержденный Постановлением Правительства Оренбургской области от 17.05.2021 № 382-пп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числа месяца, следующего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за 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63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«Ежегодный объем экспорта субъектов МСП, получивших поддержку центров поддержки экспорта»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74" w:right="10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миллиард долларов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экспорта субъектов МСП, получивших поддержку центров поддержки экспорта в течении отчетного года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утвержденный Постановлением Правительства Оренбургской области от 17.05.2021 № 382-пп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числа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W w:w="1558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5 «Создание благоприятных условий для осуществления деятельности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самозанятыми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 гражданами»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Самозанятым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гражданам обеспечено предоставление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по льготной ставке государственными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микрофинансовыми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организациями (объем выданных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, ежегодно)»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миллион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74" w:right="10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Информация о значении результата получена по данным   НМКК «Оренбургский областной фонд поддержки малого предпринимательства», представляемых ежеквартально   </w:t>
            </w:r>
            <w:r>
              <w:rPr>
                <w:color w:val="000000" w:themeColor="text1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Объем выданных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, ежегодно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7 -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Письмо НМК «Оренбургский областной фонд поддержки малого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до 20 числа месяца, следующего за 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Самозанятым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ральными институтами развития (центрами компетенций)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оффлайн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и онлайн форматах (количество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самозанятых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граждан, получивших услуги,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прошедших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firstLine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программы обучения)»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тысяча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74" w:right="10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человек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, представляемых ежеквартально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самозанятых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граждан, получивших услуги,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прошедших программы обучения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right="53" w:firstLine="0"/>
              <w:jc w:val="center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Borders>
              <w:right w:val="single" w:color="000000" w:sz="6" w:space="0"/>
            </w:tcBorders>
            <w:tcW w:w="15583" w:type="dxa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6 «Создание условий для легкого старта и комфортного ведения бизнеса»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hanging="45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«Улучшены условия ведения предпринимательской деятельности для индивидуальных предпринимателей, применяющих патентную систему налогообложения (количество индивидуальных предпринимателей, применяющих патентную систему налогообложения)»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Управления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Федеральной Налоговой Службы России по Оренбургской Области (далее – УФНС) на основе запроса, направляемого минэкономразвития в адрес УФНС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индивидуальных предпринимателей, применяющих патентную систему налогообложения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7 -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данные УФНС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месяца, следующего за 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88"/>
              <w:ind w:left="147" w:right="141" w:hanging="45"/>
              <w:spacing w:before="0" w:beforeAutospacing="0" w:after="0" w:afterAutospacing="0"/>
              <w:widowControl w:val="off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hanging="45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(объем финансовой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поддержки, предоставленной начинающим предпринимателям (кредиты, лизинг, займы), обеспеченной поручительствами и независимыми гарантиями региональных РГО»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pStyle w:val="888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миллиард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  некоммерческой организации «Гарантийный фонд для субъектов малого и среднего предпринимательства Оренбургской области», представляемых ежеквартально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финансовой поддержки, предоставленной начинающим предпринимателям (кредиты, лизинг, займы), обеспеченной поручительствами и независимыми гарантиями региональных РГО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Данные некоммерческой организации «Гарантийный фонд для субъектов малого и среднего предпринимательства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месяца, следующего за 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hanging="45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«Начинающим предпринимателям предоставлены льготные финансовые ресурсы в виде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государственными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микрофинансовыми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организациями (ежегодно) (количество действующих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предоставленных начинающим предпринимателям)»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  НМКК «Оренбургский областной фонд поддержки малого предпринимательства»,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действующих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предоставленных начинающим предпринимателям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Данные НМКК «Оренбургский областной фонд поддержки малого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месяца, следующего за 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hanging="45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Гражданам, желающим вести 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офлайн- и онлайн-форматах на единой площадке регио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нальной инфраструктуры поддержки бизнеса по единым требованиям к оказанию поддержки,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уникальных граждан, желающих вести бизнес, начинающих и действующих предпринимателей, получивших услуги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 утвержденный Постановлением № 480-пп от 15.06.2021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hanging="45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предпринимательства, включенным в реестр социальных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предпринимателей,и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(или) субъектам малого и среднего предпринимательства, созданным физическими лицами в возрасте до 25 лет включительно, предо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ставлены комплекс услуг и (или)  финансовая поддержка в виде грантов (количество уникальных социальных предприятий,  включенных в реестр социальных предпринимателей, и (или) количество субъектов малого и среднего предпринимательства, созданных физическими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лицами в возрасте до 25 лет включительно, получивших комплекс услуг и (или) финансовую поддержку в виде грантов, накопленным итогом)»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уникальных социальных предприя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тий,  включенных в реестр социальных предпринимателей, и (или) количество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 в виде грантов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 утвержденный Постановлением № 480-пп от 15.06.2021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" w:right="25" w:hanging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Borders>
              <w:right w:val="single" w:color="auto" w:sz="4" w:space="0"/>
            </w:tcBorders>
            <w:tcW w:w="15583" w:type="dxa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7 «Системные меры развития международной кооперации и экспорта»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ffffff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147" w:right="141" w:firstLine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«Региональный экспортный стандарт 2.0 внедрен в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88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оперативным данным информационной системы АО «Российский экспортный центр» «Онлайн система мониторинга внедрения РЭС»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255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инструментов, внедренных  в Оренбургской области в рамках Регионального экспортного стандарта 2.0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612" w:type="dxa"/>
            <w:vMerge w:val="restart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750" w:type="dxa"/>
            <w:vMerge w:val="restart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343" w:type="dxa"/>
            <w:vMerge w:val="restart"/>
            <w:textDirection w:val="lrTb"/>
            <w:noWrap w:val="false"/>
          </w:tcPr>
          <w:p>
            <w:pPr>
              <w:pStyle w:val="888"/>
              <w:ind w:right="53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Информационная система «Онлайн система мониторинга внедрения РЭС»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hyperlink r:id="rId18" w:tooltip="https://regionstandard.exportcenter.ru/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https://regionstandard.exportcenter.ru/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514" w:type="dxa"/>
            <w:vMerge w:val="restart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31 декабря отчетного года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ffffff" w:fill="ffffff"/>
            <w:tcW w:w="15583" w:type="dxa"/>
            <w:vMerge w:val="restart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highlight w:val="none"/>
              </w:rPr>
              <w:t xml:space="preserve">Региональный проект 8 «Системные меры развития международной кооперации и экспорта в Оренбургской области»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70c0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70c0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70c0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70c0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«Региональный экспортный стандарт 2.0 внедрен в Оренбургской области»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условная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 единица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Информация о значении результата получена по оперативным данным информационной системы АО «Российский экспортный центр» «Онлайн система мониторинга внедрения РЭС»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Количество инструментов, внедренных  в Оренбургской области в рамках Регионального экспортного стандарта 2.0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8 – прочие методы сбора информации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pStyle w:val="888"/>
              <w:ind w:right="53"/>
              <w:jc w:val="center"/>
              <w:spacing w:before="0" w:beforeAutospacing="0" w:after="0" w:afterAutospacing="0"/>
              <w:widowControl w:val="off"/>
              <w:rPr>
                <w:color w:val="0070c0"/>
                <w:sz w:val="20"/>
                <w:szCs w:val="20"/>
                <w:highlight w:val="none"/>
              </w:rPr>
            </w:pPr>
            <w:r>
              <w:rPr>
                <w:color w:val="0070c0"/>
                <w:sz w:val="20"/>
                <w:szCs w:val="20"/>
                <w:highlight w:val="none"/>
              </w:rPr>
              <w:t xml:space="preserve">Информационная система «Онлайн система мониторинга внедрения РЭС»</w:t>
            </w:r>
            <w:r>
              <w:rPr>
                <w:color w:val="0070c0"/>
                <w:sz w:val="20"/>
                <w:szCs w:val="20"/>
                <w:highlight w:val="none"/>
              </w:rPr>
            </w:r>
            <w:r>
              <w:rPr>
                <w:color w:val="0070c0"/>
                <w:sz w:val="20"/>
                <w:szCs w:val="20"/>
                <w:highlight w:val="none"/>
              </w:rPr>
            </w:r>
          </w:p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color w:val="0070c0"/>
                <w:highlight w:val="none"/>
              </w:rPr>
            </w:r>
            <w:hyperlink r:id="rId19" w:tooltip="https://regionstandard.exportcenter.ru/" w:history="1">
              <w:r>
                <w:rPr>
                  <w:rFonts w:ascii="Times New Roman" w:hAnsi="Times New Roman" w:cs="Times New Roman"/>
                  <w:color w:val="0070c0"/>
                  <w:sz w:val="20"/>
                  <w:szCs w:val="20"/>
                  <w:highlight w:val="none"/>
                </w:rPr>
                <w:t xml:space="preserve">https://regionstandard.exportcenter.ru/</w:t>
              </w:r>
            </w:hyperlink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до 31 декабря отчетного года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W w:w="15583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9 «Создание номерного фонда, инфраструктуры и новых точек притяжения»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Результат 1 «Реализованы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единица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  <w:lang w:eastAsia="en-US"/>
              </w:rPr>
              <w:t xml:space="preserve">Информация о значении результата формируется на основании отчетов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получателя(-ей)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  <w:lang w:eastAsia="en-US"/>
              </w:rPr>
              <w:t xml:space="preserve">  о достижении значений результата  предоставления субсидии, значения которого определяются соглашением о предоставлении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Реализованные мероприятия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«Количество туристических поездок по территории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1-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pStyle w:val="888"/>
              <w:ind w:right="53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Отчетная ин-формация, полученная от получателя(-ей) субсидии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5-го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Результат 2 «Обеспечено завершение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строительства (реконструкции)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объектов обеспечивающей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инфраструктуры с длительным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сроком окупаемости»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Показатель определяется арифметическим сложением данных о количестве </w:t>
            </w:r>
            <w:r>
              <w:rPr>
                <w:color w:val="000000" w:themeColor="text1"/>
                <w:highlight w:val="non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поддержанных путем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строительства (реконструкции) объектов обеспечивающей инфраструктуры 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длительным сроком окупаемости в субъекте в отчетном периоде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Количество поддержанных путем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строительства (реконструкции) объектов обеспечивающей инфраструктуры с длительным сроком окупаемости в субъекте в отчетном периоде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7 – административная информация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pStyle w:val="888"/>
              <w:ind w:right="53"/>
              <w:jc w:val="center"/>
              <w:spacing w:before="0" w:beforeAutospacing="0" w:after="0" w:afterAutospacing="0"/>
              <w:widowControl w:val="off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Информация, полученная от муниципальных образований Оренбургской области и министерства строительства, жи</w:t>
            </w:r>
            <w:r>
              <w:rPr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лищно-коммунального, дорожного хозяйства и транспорта Оренбургской области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5-го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W w:w="15583" w:type="dxa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10 «Развитие туристической инфраструктуры»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915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«Обеспечена поддержка реализации общественных инициатив, направленных на развитие туристической инфраструктуры, в форме межбюджетных трансфертов (пляжи и национальные туристские маршруты)»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S=</w:t>
            </w:r>
            <m:oMath>
              <m:nary>
                <m:naryPr>
                  <m:chr m:val="∑"/>
                  <m:grow m:val="off"/>
                  <m:limLoc m:val="undOvr"/>
                  <m:subHide m:val="on"/>
                  <m:supHide m:val="on"/>
                  <m:ctrlPr>
                    <w:rPr>
                      <w:rFonts w:hint="default" w:ascii="Cambria Math" w:hAnsi="Cambria Math" w:eastAsia="Cambria Math" w:cs="Cambria Math"/>
                      <w:iCs/>
                      <w:color w:val="000000" w:themeColor="text1"/>
                      <w:sz w:val="20"/>
                      <w:szCs w:val="20"/>
                      <w:highlight w:val="none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highlight w:val="none"/>
                      <w:lang w:val="en-US"/>
                    </w:rPr>
                    <m:rPr>
                      <m:sty m:val="p"/>
                    </m:rPr>
                    <m:t>N-</m:t>
                  </m:r>
                  <m:nary>
                    <m:naryPr>
                      <m:chr m:val="∑"/>
                      <m:grow m:val="off"/>
                      <m:limLoc m:val="undOvr"/>
                      <m:subHide m:val="on"/>
                      <m:supHide m:val="on"/>
                      <m:ctrlPr>
                        <w:rPr>
                          <w:rFonts w:hint="default" w:ascii="Cambria Math" w:hAnsi="Cambria Math" w:eastAsia="Cambria Math" w:cs="Cambria Math"/>
                          <w:iCs/>
                          <w:color w:val="000000" w:themeColor="text1"/>
                          <w:sz w:val="20"/>
                          <w:szCs w:val="20"/>
                          <w:highlight w:val="none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  <w:highlight w:val="none"/>
                          <w:lang w:val="en-US"/>
                        </w:rPr>
                        <m:rPr>
                          <m:sty m:val="p"/>
                        </m:rPr>
                        <m:t>O</m:t>
                      </m:r>
                    </m:e>
                  </m:nary>
                </m:e>
              </m:nary>
            </m:oMath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- количество общественных инициатив, направленных на развитие туристической инфраструктуры в субъекте;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- число заключенных соглашений 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грантополучателями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 предоставлении грантов в форме субсидии в субъекте;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 - число поступивших отказов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грантополучателей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от грантов в форме субсидии в субъекте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1 -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периодическая отчетность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ГИС «Электронный бюджет»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5-го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231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«Число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туристских поездок»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Информация о значении результата формируется на основании отчетов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получателя(-ей)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  о достижении значений результата  предоставления субсидии, значения которого определяются соглашением о предоставлении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Реализованные мероприятия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«Число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туристских поездок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1- периодическая отчетность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Отчетная ин-формация, полученная от получателя(-ей)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5-го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915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«Обеспечено выполнение работ по строительству (реконструкции) объектов обеспечивающей инфраструктуры с длительным сроком окупаемости в 2024 году»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определяется арифметическим сложением данных о количестве </w:t>
            </w:r>
            <w:r>
              <w:rPr>
                <w:color w:val="000000" w:themeColor="text1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поддержанных путем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строительства (реконструкции) объектов обеспечивающей инфраструктуры с длительным сроком окупаемости в субъекте в отчетном периоде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поддержанных путем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строительства (реконструкции) объектов обеспечивающей инфраструктуры с длительным сроком окупаемости в субъекте в отчетном периоде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Информация, полученная от муниципальных образований Оренбургской области и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5-го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12"/>
        </w:trPr>
        <w:tc>
          <w:tcPr>
            <w:gridSpan w:val="10"/>
            <w:shd w:val="clear" w:color="auto" w:fill="ffffff"/>
            <w:tcW w:w="15583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Региональный проект 11 «Повышение доступности туристических продуктов»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537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«Обеспечена поддержка и продвижение событийных мероприятий, возникающих при реализации региональных проектов»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- число зрителей, посетивших событийное мероприятие в субъекте в отчетном году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7 - 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административная информация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культуры Оренбургской области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5-го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537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«Разработан и реализуется комплекс мер, направленный на повышение доступности и популяризацию туризма для детей школьного возраста»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bookmarkStart w:id="0" w:name="_GoBack"/>
            <w:r>
              <w:rPr>
                <w:color w:val="000000" w:themeColor="text1"/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отчетов, представляемых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исполнителями государственной услуги в социальной сфере в соответствии с соглашением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1- периодическая отчетность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Отчетная информация, полученная от исполнителей государственной услуги в социальной сфере в соответствии с соглашением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8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5-го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Borders>
              <w:right w:val="single" w:color="auto" w:sz="4" w:space="0"/>
            </w:tcBorders>
            <w:tcW w:w="15583" w:type="dxa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Комплекс процессных мероприятий 1 «Повышение эффективности государственного управления социально-экономическим развитием области»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«Уровень удовлетворенности граждан качеством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предоставления государственных и муниципальных услуг в ГАУ «МФЦ»»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отчетов, представляемых ежеквартально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ГАУ «МФЦ»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Удовлетворенность граждан качеством предоставления государственных и муниципальных услуг в ГАУ «МФЦ»»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ГАУ «МФЦ» Оренбургской области, утвер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жденный постановлением Правительства Оренбургской области от 08.12.2015 № 950-п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1 февраля года, следующего за отчетным годом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ffffff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0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23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«Уровень удовлетворенности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граждан,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ридических лиц и индивидуальных предпринимателей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качеством предоставления государственных и муниципальных услуг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 том числе услуг, необходимых для начала осуществления и развития предпринимательской деятельности)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в ГАУ «МФЦ»»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88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отчетов, представляемых ежеквартально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ГАУ «МФЦ»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255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Удовлетворенность граждан качеством предоставления государственных и муниципальных услуг в ГАУ «МФЦ»»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1612" w:type="dxa"/>
            <w:vMerge w:val="restart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1750" w:type="dxa"/>
            <w:vMerge w:val="restart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ГАУ «МФЦ» Оренбургской области, утвер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жденный постановлением Правительства Оренбургской области от 08.12.2015 № 950-п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151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1 февраля года, следующего за отчетным годом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23" w:firstLine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услуг, оказанных в ГАУ  «МФЦ»»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отчетов, представляемых ежеквартально ГАУ «МФЦ»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услуг, оказанных в ГАУ «МФЦ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ГАУ «МФЦ» Оренбургской области, утвержденный постановлением Правительства Оренбургской области от 08.12.2015 № 950-п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1 февраля года, следующего за отчетным годом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147" w:right="123" w:firstLine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жалоб, поступивших в ГАУ  «МФЦ»»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отчетов, представляемых ежеквартально ГАУ «МФЦ»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жалоб, поступивших в ГАУ «МФЦ»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ГАУ «МФЦ» Оренбургской области, утвержденный постановлением Правительства Оренбургской области от 08.12.2015 № 950-п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1 февраля года, следующего за отчетным годом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147" w:right="123" w:firstLine="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«Время ожидания в очереди при обращении заявителя в ГАУ «МФЦ» для получения государственных (муниципальных) услуг»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минут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88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отчетов, представляемых ежеквартально ГАУ «МФЦ»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255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Время ожидания в очереди при обращении заявителя в ГАУ «МФЦ» для получения государственных (муниципальных) услуг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1612" w:type="dxa"/>
            <w:vMerge w:val="restart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1750" w:type="dxa"/>
            <w:vMerge w:val="restart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ГАУ «МФЦ» Оренбургской области, утвержденный постановлением Правительства Оренбургской области от 08.12.2015     № 950-п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W w:w="151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1 февраля года, следующего за отчетным годом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63" w:right="123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Результат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Время ожидания в очереди при обращении заявителя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(гражданина,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юридического лица, индивидуального предпринимателя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в ГАУ «МФЦ» для получения государственных (муниципальных) услуг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(в том числе услуг, необходимых для начала осуществления и развития предпринимательской деятельности)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минут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отчетов, представляемых ежеквартально ГАУ «МФЦ»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Время ожидания в очереди при обращении заявителя в ГАУ «МФЦ» для получения государственных (муниципальных) услуг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ГАУ «МФЦ» Оренбургской области, утвержденный постановлением Правительства Оренбургской области от 08.12.2015     № 950-п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 позднее 1 февраля года, следующего за отчетным годом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1392"/>
        </w:trPr>
        <w:tc>
          <w:tcPr>
            <w:shd w:val="clear" w:color="auto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«Доля муниципальных образований, имеющих значение комплексной оценки эффективности деятельности органов местного самоуправления выше 0,4 (не менее)»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vMerge w:val="restart"/>
            <w:textDirection w:val="lrTb"/>
            <w:noWrap w:val="false"/>
          </w:tcPr>
          <w:p>
            <w:pPr>
              <w:pStyle w:val="875"/>
              <w:ind w:left="11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Д=A / B * 100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18" w:right="134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 –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доля муниципальных образований, имеющих значение комплексной оценки эффективности деятельности органов местного самоуправления выше 0,4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vMerge w:val="restart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Внутренняя информация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 октября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934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pStyle w:val="875"/>
              <w:ind w:left="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18" w:right="134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A – количество муниципальных образований, имеющих значение комплексной оценки эффективности деятельности органов местного самоуправления 0,4 и  выше  (в математическом округлении до десятых)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87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right="134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B – общее количество муниципальных образований, участвующих в оценке эффективности деятельности органов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выставочно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-ярмарочных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конгрессных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мероприятий, в которых принимают участие представители минэкономразвития (не менее)»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определяется арифметическим сложением данных о количестве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выставочно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-ярмарочных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конгрессных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мероприятий, в которых принимают участие представители минэкономразвития в отчетном периоде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выставочно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-ярмарочных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конгрессных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мероприятий, в которых принимают участие представители минэкономразвития в отчетном периоде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Внутренняя информация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министерства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5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 февраля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231"/>
        </w:trPr>
        <w:tc>
          <w:tcPr>
            <w:shd w:val="clear" w:color="auto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извещений об осуществлении закупок, размещенных ГКУ «ЦОЗ» в Единой информационной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системе в сфере закупок, в соответствии с Федеральным законом № 44-ФЗ и в соответствии с Федеральным законом № 223-ФЗ, по результатам рассмотрения заявок на закупку, поступивших от заказчиков посредством региональной информационной системы в сфере закупок»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vMerge w:val="restart"/>
            <w:textDirection w:val="lrTb"/>
            <w:noWrap w:val="false"/>
          </w:tcPr>
          <w:p>
            <w:pPr>
              <w:ind w:firstLine="21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ind w:left="6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К=∑А+∑В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ind w:left="118" w:right="1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 – Количество извещений об осуществлении закупок, размещенных ГКУ «ЦОЗ» в Единой информационной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системе в сфере закупок, в соответствии с Федеральным законом № 44-ФЗ и в соответствии с Федеральным законом № 223-ФЗ, по результатам рассмотрения заявок на закупку, поступивших от заказчиков посредством региональной информационной системы в сфере закупок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612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750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343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ГИС «Региональная информационная система в сфере закупок товаров, работ, услуг для обеспечения государственных нужд Оренбургской области» https://zakupki.orb.ru/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514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493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ind w:firstLine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ind w:left="7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ind w:left="119" w:right="136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 – количество извещений об осуществлении закуп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ок, размещенных ГКУ «ЦОЗ» в Единой информационной системе в сфере закупок, в соответствии с Федеральным законом № 44-ФЗ по результатам рассмотрения заявок на закупку, поступивших от заказчиков посредством региональной информационной системы в сфере закупок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612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750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514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18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auto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88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left="118" w:right="1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– количество извещений об осуществлении закупок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размещенных ГКУ «ЦОЗ» в Единой информационной системе в сфере закупок, в соответствии с Федеральным законом № 223-ФЗ по результатам рассмотрения заявок на закупку, поступивших от заказчиков посредством региональной информационной системы в сфере закупок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0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716"/>
        </w:trPr>
        <w:tc>
          <w:tcPr>
            <w:shd w:val="clear" w:color="auto" w:fill="ffffff"/>
            <w:tcW w:w="421" w:type="dxa"/>
            <w:vMerge w:val="restart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126" w:type="dxa"/>
            <w:vMerge w:val="restart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«Доля расходов бюджета минэкономразвития, формируемых в рамках государственной программы, в общем объеме расходов бюджета минэкономразвития»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vMerge w:val="restart"/>
            <w:textDirection w:val="lrTb"/>
            <w:noWrap w:val="false"/>
          </w:tcPr>
          <w:p>
            <w:pPr>
              <w:ind w:firstLine="96"/>
              <w:jc w:val="center"/>
              <w:widowControl/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  <w:t xml:space="preserve">Д=А/В*100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r>
          </w:p>
          <w:p>
            <w:pPr>
              <w:ind w:firstLine="96"/>
              <w:widowControl/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r>
          </w:p>
          <w:p>
            <w:pPr>
              <w:ind w:firstLine="96"/>
              <w:widowControl/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r>
          </w:p>
          <w:p>
            <w:pPr>
              <w:ind w:firstLine="96"/>
              <w:widowControl/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 – доля расходов бюджета минэкономразвития, формируемых в рамках государственной программы, в общем объеме расходов бюджета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restart"/>
            <w:textDirection w:val="lrTb"/>
            <w:noWrap w:val="false"/>
          </w:tcPr>
          <w:p>
            <w:pPr>
              <w:ind w:left="-28" w:right="51" w:firstLine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7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vMerge w:val="restart"/>
            <w:textDirection w:val="lrTb"/>
            <w:noWrap w:val="false"/>
          </w:tcPr>
          <w:p>
            <w:pPr>
              <w:ind w:left="65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Внутренняя информация министерства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vMerge w:val="restart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5 февраля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308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ind w:firstLine="96"/>
              <w:jc w:val="center"/>
              <w:widowControl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right="13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A - фактические расходы минэкономразвития, осуществляемые в рамках государственной программы в отчетном периоде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85"/>
        </w:trPr>
        <w:tc>
          <w:tcPr>
            <w:shd w:val="clear" w:color="auto" w:fill="ffffff"/>
            <w:tcW w:w="421" w:type="dxa"/>
            <w:vMerge w:val="continue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shd w:val="clear" w:color="auto" w:fill="ffffff"/>
            <w:tcW w:w="2126" w:type="dxa"/>
            <w:vMerge w:val="continue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04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881" w:type="dxa"/>
            <w:vMerge w:val="continue"/>
            <w:textDirection w:val="lrTb"/>
            <w:noWrap w:val="false"/>
          </w:tcPr>
          <w:p>
            <w:pPr>
              <w:ind w:firstLine="96"/>
              <w:jc w:val="center"/>
              <w:widowControl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B - фактические расходы минэкономразвития в отчетном периоде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750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343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514" w:type="dxa"/>
            <w:vMerge w:val="continue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78"/>
        </w:trPr>
        <w:tc>
          <w:tcPr>
            <w:gridSpan w:val="10"/>
            <w:shd w:val="clear" w:color="auto" w:fill="ffffff"/>
            <w:tcBorders>
              <w:right w:val="single" w:color="000000" w:sz="6" w:space="0"/>
            </w:tcBorders>
            <w:tcW w:w="15583" w:type="dxa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Комплекс процессных мероприятий 2 «Развитие инвестиционной деятельности в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консультаций, проведенных для инвесторов»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6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консультаций, проведенных для инвесторов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по форме, утвержденной соглашением 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141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проектов на сопровождении у АНО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проектов на сопровождении у АНО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195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195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195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195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141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проектов, включенных в реестр приоритетных инвестиционных проектов Оренбургской области»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проектов, включенных в реестр приоритетных инвестиционных проектов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141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бизнес-планов инвесторов, проанализированных АНО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6" w:right="141" w:hanging="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бизнес-планов инвесторов, проанализированных АНО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141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разработанной проектно-сметной документации по созданию объектов инфраструктуры особой экономической зоны промышленно-производственного типа «Оренбуржье»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показателей результативности АО «ОЭЗ ППТ «Оренбуржье », представляемых ежеквартально,    и представлена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разработанной проектно-сметной документации по созданию объектов инфраструктуры особой экономической зоны промышленно-производственного типа «Оренбуржье»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hanging="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hanging="4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hanging="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 показателей результативности АО «ОЭЗ ППТ «Оренбуржье»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hanging="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 рабочего дня года,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заключенных с инвесторами соглашений о реализации инвестиционных проектов на территории ОЭЗ»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субсидии АО «ОЭЗ ППТ «Оренбуржье », представляемых ежеквартально,    и представлена нарастающим итогом 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заключенных с инвесторами соглашений о реализации инвестиционных проектов на территории ОЭЗ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«ОЭЗ ППТ «Оренбуржье»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«Площадь земельных участков, предоставленных в аренду и (или) находящихся в собственности резидентов ОЭЗ»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гектар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6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бсидии  АО «ОЭЗ ППТ «Оренбуржье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Площадь земельных участков, предоставленных в аренду и (или) находящихся в собственности резидентов ОЭЗ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АО «ОЭЗ ППТ «Оренбуржье»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8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«Объем выручки предприятий, пользующихся льготой по налогу на имущество организаций, организациям, реализующим инвестиционные проекты, включенные в реестр приоритетных инвестиционных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проектов Оренбургской области, по которым предоставляются меры государственной поддержки, - в отношении вновь созданно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го и (или) приобретаемого нового (не бывшего в эксплуатации) имущества в рамках реализации инвестиционного проекта, принятого к бухгалтерскому учету в качестве основных средств после заключения инвестиционного договора о реализации инвестиционного проекта»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миллион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6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инвесторов об исполнении условий инвестиционного договора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Объем выручки пр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едприятий, пользующихся льготой по налогу на имущество организаций, организациям, реализующим инвестиционные проекты, включенные в реестр приоритетных инвестиционных проектов Оренбургской области, по которым предоставляются меры государственной поддержки,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- в отношении вновь созданн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ого и (или) приобретаемого нового (не бывшего в эксплуатации) имущества в рамках реализации инвестиционного проекта, принятого к бухгалтерскому учету в качестве основных средств после заключения инвестиционного договора о реализации инвестиционного проекта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инвесторов об исполнении условий инвестиционного договора, утвержденный постановлением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области от 04.06.2013 № 428-п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апреля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налогоплательщиков, применяющих инвестиционный налоговый вычет»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Управления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Федеральной Налоговой Службы России по Оренбургской Области (далее – УФНС) на основе запроса, направляемого минэкономразвития в адрес УФНС, и представлена нарастающим итогом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налогоплательщиков, применяющих инвестиционный налоговый вычет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Данные УФНС России по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апреля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новых рабочих мест, созданных резидентами ТОР Оренбургской области»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путем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арифметического сложения данных о количестве новых рабочих мест, созданных резидентами ТОР Оренбург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ской области из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отчетов резидентов ТОР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новых рабочих мест, созданных резидентами ТОР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Отчеты резидентов ТОР «Новотроицк» и ТОР «Ясный»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20 апреля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 «Объем инвестиций в объекты инфраструктуры в рамках предоставления субсидий на создание объектов инфраструктуры в целях реализации новых инвестиционных проектов»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 АО «ОЭЗ ППТ «Оренбуржье» о расходах, источником финансового обеспечения которых является субсидия,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инвестиций в объекты инфраструктуры в рамках предоставления субсидий на создание объектов инфраструктуры в целях реализации новых инвестиционных проектов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 АО «ОЭЗ ППТ «Оренбуржье» о расходах, источником финансового обеспечения которых является субсидия по форме, утвержденной соглашением о предоставлении субсидии из бюджета Оренбургской области на капитальные вложения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20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  Результат 12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рабочих мест, созданных резидентами на территории ОЭЗ»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АО «ОЭЗ ППТ «Оренбуржье », представляемых ежеквартально 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рабочих мест, созданных резидентами на территории ОЭЗ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АО «ОЭЗ ППТ «Оренбуржье» по форме, утвержденной соглашением о предоставлении из бюджета Орен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  Результат 13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159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«Общий объем осуществленных инвестиций на территории ОЭЗ»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  АО «ОЭЗ ППТ «Оренбуржье» о функционировании особой экономической зоны промышленно-производственного типа «Оренбуржье», созданной на территориях муниципальных образований «город Оренбург» и «Город Орск» Оренбургской области, представляемых ежеквартально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осуществленных инвестиций на территории ОЭЗ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 АО «ОЭЗ ППТ «Оренбуржье» 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функционировании особой экономической зоны промышленно-производственного типа «Оренбуржье», созданной на территориях муниципальных образований «город Оренбург» и «Город Орск» Оренбургской области,  по форме, утвержденной соглашением с  Минэкономразвития РФ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мая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«Обеспечение поступлений в федеральный бюджет налоговых доходов от реализации нового инвестиционного проекта, в объеме не менее 100 процентов от размера предоставляемой субсидии и в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объеме не менее установленных в Соглашении о намерениях»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Накопительным итогом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млн.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формируется на основании отчета инвестора о достижении значений результата  предоставления субсидии, значения которого определяются соглашением 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предоставлении субсидии, и представляется нарастающим итогом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Обеспечение поступлений в федеральный бюджет налоговых доходов от реализации нового инвестиционного проекта, в объеме не менее 100 процентов от размера предоставляемой субсидии и в объеме не менее установленных в Соглашении о намерениях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на возмещение затрат на со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здание объектов инфраструктуры в целях реализации новых инвестиционных проектов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февраля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 Результат 15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 Количество рабочих мест, созданных в рамках реализации новых инвестиционных проектов 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отчета о ходе реализации проекта, направляемого инвестором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адрес министерства промышленности и энергетики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89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Количество рабочих мест, созданных в рамках реализации новых инвестиционных проектов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на возмещение затрат на создание объектов инфраструктуры в целях реализации новых инвестиционных проектов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февраля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«Объем инвестиций на реализацию нового инвестиционного проекта 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81" w:type="dxa"/>
            <w:textDirection w:val="lrTb"/>
            <w:noWrap w:val="false"/>
          </w:tcPr>
          <w:p>
            <w:pPr>
              <w:pStyle w:val="89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Информация о значении результата формируется на основании отчета инвестора о достижении значений результата  предоставления субсидии, значения которого определяются соглашением о предоставлении субсидии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89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Объем инвестиций на реализацию нового инвестиционного проекта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на возмещение затрат на создание объектов инфраструктуры в целях реализации новых инвестиционных проектов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февраля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 Результат 17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«Поступление налоговых и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неналоговых доходов в консолидированный бюджет Оренбургской области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 млн.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нии результата получена по данным отчета о ходе реализации проекта резидента ОЭЗ, предоставляемого ежеквартально в адрес управляющей компании ОЭЗ ППТ «Оренбуржье»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Общий объем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налоговых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неналоговых доходов в консолидированный бюджет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функционировании особой экономической зоны промышленно-производственного типа «Оренбуржье», созданной на территориях муниципальных образований «город Оренбург» и «Город Орск» Оренбургской области,  по форме, утвержденной соглашением с  Минэкономразвития РФ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мая года, следующего за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18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Ввод объекта транспортной инфраструктуры в эксплуатацию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N = </w:t>
            </w:r>
            <w:r>
              <w:rPr>
                <w:rFonts w:ascii="Symbol" w:hAnsi="Symbol" w:eastAsia="Symbol" w:cs="Symbol"/>
                <w:color w:val="000000" w:themeColor="text1"/>
                <w:sz w:val="20"/>
                <w:szCs w:val="20"/>
                <w:highlight w:val="none"/>
              </w:rPr>
              <w:t xml:space="preserve">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ni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значение определяется на основании данных отчета муниципальных образований Оренбургской области о достижении значений результатов использования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N – общее количество простроенных автомобильных дорог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ni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– построенная автомобильная дорога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i – количество построенных автомобильных дорог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муниципального образования Оренбургской области о достижении значений результата предоставления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 января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89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 «Объем выручки малых технологических компаний, пользующихся льготой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налогу на прибыль организаций для налогоплательщиков - российских организаций, зарегистрированных и (или) осуществляющих деятельность на территории Оренбургской области, включенных в реестр малых технологических компаний»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миллион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показателя получена по данным Управления  Федеральной Налоговой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Службы по Оренбургской Области (далее – УФНС) на основе запроса, направляемого минэкономразвития в адрес УФНС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Объем выручки предприятий, пользующихся льготой по налогу на прибыль организаций для налогоплательщиков - российских организаций,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зарегистрированных и (или) осуществляющих деятельность на территории Оренбургской области, включенных в реестр малых технологических компаний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ind w:left="113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Письмо в УФНС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15 апреля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Borders>
              <w:right w:val="single" w:color="000000" w:sz="6" w:space="0"/>
            </w:tcBorders>
            <w:tcW w:w="15583" w:type="dxa"/>
            <w:textDirection w:val="lrTb"/>
            <w:noWrap w:val="false"/>
          </w:tcPr>
          <w:p>
            <w:pPr>
              <w:ind w:left="15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Комплекс процессных мероприятий 3 «Государственная поддержка организаций, образующих инфраструктуру поддержки субъектов малого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среднего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«Площадь помещений ГБУ «ООБИ», предоставленных субъектам МСП»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квадратных метров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ГБУ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Орен-бургский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областной бизнес-инкубатор»,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Площадь помещений ГБУ «ООБИ», предоставленных субъектам МСП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ГБУ «Оренбургский областной бизнес-инкубатор»,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утвержденный Постановлением Правительства Оренбургской области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от 08.12.2015   № 950-п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жалоб, поступивших (обоснованных) в ГБУ «ООБИ»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ГБУ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Орен-бургский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областной бизнес-инкубатор»,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жалоб, поступивших (обоснованных) в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ГБУ «Оренбургский областной бизнес-инкубатор»,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утвержденный Постановлением Правительства Оренбургской области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от 08.12.2015   № 950-п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консультаций, проведенных ГБУ «ООБИ»»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нии результата получена по данным отчетов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ГБУ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Орен-бургский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областной бизнес-инкубатор»,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консультаций, проведенных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ГБУ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«Оренбургский областной бизнес-инкубатор»,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утвержденный Постановлением Правительства Оренбургской области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от 08.12.2015   № 950-п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рабочего дня месяца,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субъектов МСП, получивших поддержку в Центре «Мой бизнес»»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МСП, получивших поддержку в Центре «Мой бизнес»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утвержденный Постановлением Правительства Оренбургской области от 03.02.2021        № 40-пп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«Оборот субъектов предпринимательства»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показателя получена по данным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Территориального органа Федеральной службы государственной статистики по Оренбургской области, направляемых в адрес минэкономразвития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Оборот субъектов предпринимательства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2" w:hanging="6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Письмо Территориального органа Федеральной службы государственной статистики по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20 числа месяца, следующего за 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3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«Объем займов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предоставленных МКК "ОО Фонд ПМП" субъектам малого и сред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него предпринимательства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 МКК "ОО Фонд ПМП"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займов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предоставленных субъектам малого и среднего предпринимательства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750" w:type="dxa"/>
            <w:textDirection w:val="lrTb"/>
            <w:noWrap w:val="false"/>
          </w:tcPr>
          <w:p>
            <w:pPr>
              <w:ind w:left="62" w:right="102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МКК "ОО Фонд ПМП", утвержденный Постановлением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Правительства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514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3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«Объем финансовой поддержки, оказанной субъектам малого и среднего предпринимательства при гарантийной поддержке НО «ГФОО»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НО «ГФОО»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Объем финансовой поддержки, оказанной субъектам малого и среднего предпринимательства при гарантийной поддержке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750" w:type="dxa"/>
            <w:textDirection w:val="lrTb"/>
            <w:noWrap w:val="false"/>
          </w:tcPr>
          <w:p>
            <w:pPr>
              <w:ind w:left="62" w:right="102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НО «ГФОО», утвержденный Постановлением Правительства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514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 за отчетным кварталом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W w:w="15583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Комплекс процессных мероприятий 4 «Поддержка малого и среднего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63" w:firstLine="7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firstLine="7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МСП, физическим лицам, применяющим специальный налоговый режим «Налог на профессиональный доход», а также гражданам, желающим вести бизнес обеспечено предоставлен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ие комплекса информационно-консультационных и образовательных услуг» (количество субъектов МСП, физических лиц, применяющих специальный налоговый режим «Налог на профессиональный доход», а также гражданам, желающим вести бизнес, получивших услуги в Центре)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МСП, физических лиц, применяющих специальный налоговый режим «Налог на профессиональный доход», а также гражданам, желающим вести бизнес, получивших услуги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750" w:type="dxa"/>
            <w:textDirection w:val="lrTb"/>
            <w:noWrap w:val="false"/>
          </w:tcPr>
          <w:p>
            <w:pPr>
              <w:ind w:left="62" w:right="102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утвержденный Постановлением Правительства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514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63" w:firstLine="7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3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предпринимательства, предоставлены комплекс услуг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(или) финансовая поддержка в виде грантов (количество субъектов малого и среднего предпринимательства, получивших комплекс услуг и (или) финансовую поддержку в виде грантов)»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 результата получена по данным отчетов 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малого и среднего предпринимательства, получивших комплекс услуг и (или) финансовую поддержку в виде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грантов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612" w:type="dxa"/>
            <w:textDirection w:val="lrTb"/>
            <w:noWrap w:val="false"/>
          </w:tcPr>
          <w:p>
            <w:pPr>
              <w:ind w:left="113" w:right="5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750" w:type="dxa"/>
            <w:textDirection w:val="lrTb"/>
            <w:noWrap w:val="false"/>
          </w:tcPr>
          <w:p>
            <w:pPr>
              <w:ind w:left="62" w:right="102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 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 утвержденный Постановлением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514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63" w:firstLine="7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33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Проведен ежегодный конкурсный отбор муниципальных образований на поощрение муниципальных команд по итогам рейтинга экономического развития муниципальных образований Оренбургской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определяется по результатам ежегодного конкурсного отбора муниципальных образований на поощрение муниципальных команд по итогам рейтинга экономического развития муниципальных образований Оренбургской области.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конкурсных отборов муниципальных образований на поощрение муниципальных команд по итогам рейтинга экономического развития муниципальных образований Оренбургской области.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750" w:type="dxa"/>
            <w:textDirection w:val="lrTb"/>
            <w:noWrap w:val="false"/>
          </w:tcPr>
          <w:p>
            <w:pPr>
              <w:ind w:left="62" w:right="102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vAlign w:val="center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Протокол заседания комиссии по  экономическому развитию муниципальных образований Оренбургской области утверждающий рейтинг  инвестиционной привлекательности городских округов и муниципальных районов Оренбургской области за очередной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514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до 1 февраля года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субъектов малого и среднего предпринимательства, получивших услуги автономной некоммерческой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 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малого и среднего предпринимательства, получивших услуги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АНО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750" w:type="dxa"/>
            <w:textDirection w:val="lrTb"/>
            <w:noWrap w:val="false"/>
          </w:tcPr>
          <w:p>
            <w:pPr>
              <w:ind w:left="62" w:right="102" w:hanging="6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, утвержденный Постановлением Правительства Оренбургской области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514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отчетным годом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субъектов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малого и среднего предпринимательства выведенных на экспорт при поддержке Центра (количество субъектов малого и среднего предпринимательства, заключивших экспортные контракты при содействии Центра)»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данным отчетов  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субъектов малого и среднего предпринимательства выведенных 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экспорт при поддержке Центра (количество субъектов малого и среднего предпринимательства, заключивших экспортные контракты при содействии Центра)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750" w:type="dxa"/>
            <w:textDirection w:val="lrTb"/>
            <w:noWrap w:val="false"/>
          </w:tcPr>
          <w:p>
            <w:pPr>
              <w:ind w:left="62" w:right="102" w:hanging="6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развития, инвестиций, туризма и внешних связей Оренбургской области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43" w:type="dxa"/>
            <w:textDirection w:val="lrTb"/>
            <w:noWrap w:val="false"/>
          </w:tcPr>
          <w:p>
            <w:pPr>
              <w:ind w:left="65" w:right="104" w:hanging="6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Отчет АНО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утвержденный Постановлением Правительства Оренбургской области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514" w:type="dxa"/>
            <w:textDirection w:val="lrTb"/>
            <w:noWrap w:val="false"/>
          </w:tcPr>
          <w:p>
            <w:pPr>
              <w:ind w:left="65" w:right="104" w:firstLine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до 10 рабочего дня месяца, следующего за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отчетным годом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75"/>
        </w:trPr>
        <w:tc>
          <w:tcPr>
            <w:gridSpan w:val="10"/>
            <w:shd w:val="clear" w:color="auto" w:fill="ffffff"/>
            <w:tcBorders>
              <w:right w:val="single" w:color="000000" w:sz="6" w:space="0"/>
            </w:tcBorders>
            <w:tcW w:w="15583" w:type="dxa"/>
            <w:textDirection w:val="lrTb"/>
            <w:noWrap w:val="false"/>
          </w:tcPr>
          <w:p>
            <w:pPr>
              <w:ind w:firstLine="1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Комплекс процессных мероприятий 5 «Организация и проведение мероприятий в сфере туризма»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275" w:right="47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141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мероприятий, направленных на повышение туристической привлекательности Оренбургской области»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6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мероприятий, направленных на повышение туристической привлекательности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о достижении значений результата предоставления субсидии АНО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ЦППиРЭ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по форме, утвержденной соглашением о предоставлении из бюджета Оренбургской области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30 числа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12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«Число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275" w:right="47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туристских поездок»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6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Информация о значении результата формируется на основании отчетов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получателя(-ей)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  о достижении значений результата  предоставления субсидии, значения которого определяются соглашением о предоставлении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Реализованные мероприятия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«Число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туристских поездок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1-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62" w:right="10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экономического развития, инвестиций, туризма и внешних связей Оренбургской области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Отчетная ин-формация, полученная от получателя(-ей) субсидии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65" w:right="10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5-го рабочего дня месяца, следующего за отчетным годом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Borders>
              <w:right w:val="single" w:color="000000" w:sz="6" w:space="0"/>
            </w:tcBorders>
            <w:tcW w:w="15583" w:type="dxa"/>
            <w:textDirection w:val="lrTb"/>
            <w:noWrap w:val="false"/>
          </w:tcPr>
          <w:p>
            <w:pPr>
              <w:ind w:firstLine="1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Комплекс процессных мероприятий 6 «Развитие торговли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отдаленных, труднодоступных и малонаселенных пунктов Оренбургской области,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hanging="1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определяется арифметическим сложением данных о количестве населенных пунктов, в которые прогнозируется осуществление доставки социально значимых товаров в рамках реализации комплекса процессных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hanging="1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отдаленных, труднодоступных и малонаселенных пунктов Оренбургской области,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1" w:hanging="1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1" w:hanging="1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Минсельхоз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hanging="1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hanging="1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right="141" w:hanging="1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администраций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hanging="1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20 января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141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проведенных экспертиз объектов общественного питания»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right="-42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определяется расчетным методом, исходя из объема выде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ленных бюджетных ассигнований путем деления общего объема бюджетных ассигнований на стоимость оказания услуги по проведению экспертизы одного объекта (стоимость указывается в коммерческом предложении хозяйствующего субъекта, оказывающего данный вид услуги)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проведенных экспертиз объектов общественного питания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Минсельхоз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Коммерческое предложение хозяйствующего субъекта, документы об исполнении государственного контракта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февраля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местных товаропроизводителей и крестьянских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(фермерских) хозяйств, участвующих в конкурсных,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выставочно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-ярмарочных,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конгрессных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, презентационных мероприятиях,  направленных на развитие потребительского рынка Оренбургской области (не менее)»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определяется оценочным методом, ис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ходя из сложившейся практики ежегодного проведения мероприятий путем суммирования количества  местных товаропроизводителей и крестьянских (фермерских) хозяйств, принявших участие в мероприятиях в течение отчетного года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Количество местных товаропроизводителей и крестьянских (фермер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ских) хозяйств, участвующих в конкурсных,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выставочно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-ярмарочных,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конгрессных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</w:rPr>
              <w:t xml:space="preserve">, презентационных мероприятиях,  направленных на развитие потребительского рынка Оренбургской области (не менее)»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 – прочие методы сбора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Минсельхоз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Отчетные  документы об исполне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нии государственных контрактов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февраля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нестационарных торговых объектов (включая «книжные развалы», объекты, расположенные в торговых комплексах (центрах) моллах, учреждениях здравоохранения, образования, на объектах транспортной инфраструктуры) по продаже печатной продукции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Показатель определяется оценочным методом, исходя из количества  нестационарных торговых объектов  по продаже печатной продукции, фактически размещенных на территории муниципальных образований  Оренбургской области.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нестационарных торговых объектов (включая «книжные развалы», объекты, расположенные в торговых комплексах (центрах) моллах, учреждениях здравоохранения, образования, на объектах транспортной инфраструктуры) по продаже печатной продукции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 – административная 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Минсельхоз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администраций муниципальных образований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47" w:right="141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не позднее 15 февраля года, следующего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gridSpan w:val="10"/>
            <w:shd w:val="clear" w:color="auto" w:fill="ffffff"/>
            <w:tcBorders>
              <w:right w:val="single" w:color="000000" w:sz="6" w:space="0"/>
            </w:tcBorders>
            <w:tcW w:w="15583" w:type="dxa"/>
            <w:textDirection w:val="lrTb"/>
            <w:noWrap w:val="false"/>
          </w:tcPr>
          <w:p>
            <w:pPr>
              <w:ind w:left="142" w:right="-229" w:firstLine="1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Комплекс процессных мероприятий 7 «Развитие рекламы и нестационарных торговых объектов на территории муниципального образования город Оренбург»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firstLine="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99" w:right="47" w:firstLin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изменений, внесённых в схемы размещения рекламных конструкций и нестационарных торговых объектов на территории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образования город Оренбург с целью их актуализации»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ГКУ Оренбургской области «Центр размещения рекламы и нестационарных торговых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объектов», представляемых ежеквартально   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изменений, внесённых в схемы размещения рекламных конструкций и нестационарных торговых объектов на территории муниципального образования город Оренбург с целью их актуализации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архитектуры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пространственно-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градостроительного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ГКУ Оренбургской области «Центр размещения рекламы и нестационарных 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говых объектов»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 февраля года,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следующего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9" w:righ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ffffff"/>
            <w:tcW w:w="42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1"/>
              </w:numPr>
              <w:ind w:left="110" w:firstLine="0"/>
              <w:jc w:val="center"/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99" w:right="47" w:firstLine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7" w:right="141" w:firstLine="6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проведенных проверочных мероприятий в области размещения рекламных конструкций»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0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88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Информация о значении результата получена по данным отчетов ГКУ Оренбургской области «Центр размещения рекламы и нестационарных торговых объектов», представляемых ежеквартально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2552" w:type="dxa"/>
            <w:textDirection w:val="lrTb"/>
            <w:noWrap w:val="false"/>
          </w:tcPr>
          <w:p>
            <w:pPr>
              <w:ind w:left="118" w:right="134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проведенных проверочных мероприятий в области размещения рекламных конструкций»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612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– периодическая отчетность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750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архитектуры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пространственно-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градостроительного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Оренбургской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343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Отчет ГКУ Оренбургской области «Центр размещения рекламы и нестационарных торговых объектов»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W w:w="1514" w:type="dxa"/>
            <w:textDirection w:val="lrTb"/>
            <w:noWrap w:val="false"/>
          </w:tcPr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 1 февраля года,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следующего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4" w:right="5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за отчетным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18"/>
          <w:szCs w:val="1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highlight w:val="none"/>
        </w:rPr>
        <w:br w:type="textWrapping" w:clear="all"/>
      </w:r>
      <w:r>
        <w:rPr>
          <w:rFonts w:ascii="Times New Roman" w:hAnsi="Times New Roman" w:cs="Times New Roman"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  <w:highlight w:val="none"/>
        </w:rPr>
      </w:r>
    </w:p>
    <w:sectPr>
      <w:headerReference w:type="default" r:id="rId9"/>
      <w:footnotePr/>
      <w:endnotePr/>
      <w:type w:val="nextPage"/>
      <w:pgSz w:w="16838" w:h="11906" w:orient="landscape"/>
      <w:pgMar w:top="850" w:right="1134" w:bottom="709" w:left="1134" w:header="283" w:footer="2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mbria Math">
    <w:panose1 w:val="02000603000000000000"/>
  </w:font>
  <w:font w:name="Times NR MT Std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9354009"/>
      <w:docPartObj>
        <w:docPartGallery w:val="Page Numbers (Top of Page)"/>
        <w:docPartUnique w:val="true"/>
      </w:docPartObj>
      <w:rPr/>
    </w:sdtPr>
    <w:sdtContent>
      <w:p>
        <w:pPr>
          <w:pStyle w:val="728"/>
          <w:jc w:val="center"/>
        </w:pPr>
        <w:r>
          <w:rPr>
            <w:rFonts w:ascii="Times New Roman" w:hAnsi="Times New Roman" w:cs="Times New Roman"/>
            <w:sz w:val="22"/>
          </w:rPr>
          <w:fldChar w:fldCharType="begin"/>
        </w:r>
        <w:r>
          <w:rPr>
            <w:rFonts w:ascii="Times New Roman" w:hAnsi="Times New Roman" w:cs="Times New Roman"/>
            <w:sz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</w:rPr>
          <w:fldChar w:fldCharType="separate"/>
        </w:r>
        <w:r>
          <w:rPr>
            <w:rFonts w:ascii="Times New Roman" w:hAnsi="Times New Roman" w:cs="Times New Roman"/>
            <w:sz w:val="22"/>
          </w:rPr>
          <w:t xml:space="preserve">36</w:t>
        </w:r>
        <w:r>
          <w:rPr>
            <w:rFonts w:ascii="Times New Roman" w:hAnsi="Times New Roman" w:cs="Times New Roman"/>
            <w:sz w:val="22"/>
          </w:rPr>
          <w:fldChar w:fldCharType="end"/>
        </w:r>
        <w:r/>
      </w:p>
    </w:sdtContent>
  </w:sdt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29" w:firstLine="170"/>
      </w:pPr>
      <w:rPr>
        <w:rFonts w:hint="default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8"/>
    <w:link w:val="721"/>
    <w:uiPriority w:val="10"/>
    <w:rPr>
      <w:sz w:val="48"/>
      <w:szCs w:val="48"/>
    </w:rPr>
  </w:style>
  <w:style w:type="character" w:styleId="692">
    <w:name w:val="Subtitle Char"/>
    <w:basedOn w:val="708"/>
    <w:link w:val="723"/>
    <w:uiPriority w:val="11"/>
    <w:rPr>
      <w:sz w:val="24"/>
      <w:szCs w:val="24"/>
    </w:rPr>
  </w:style>
  <w:style w:type="character" w:styleId="693">
    <w:name w:val="Intense Quote Char"/>
    <w:link w:val="726"/>
    <w:uiPriority w:val="30"/>
    <w:rPr>
      <w:i/>
    </w:rPr>
  </w:style>
  <w:style w:type="character" w:styleId="694">
    <w:name w:val="Header Char"/>
    <w:basedOn w:val="708"/>
    <w:link w:val="728"/>
    <w:uiPriority w:val="99"/>
  </w:style>
  <w:style w:type="character" w:styleId="695">
    <w:name w:val="Footer Char"/>
    <w:basedOn w:val="708"/>
    <w:link w:val="730"/>
    <w:uiPriority w:val="99"/>
  </w:style>
  <w:style w:type="character" w:styleId="696">
    <w:name w:val="Caption Char"/>
    <w:basedOn w:val="708"/>
    <w:link w:val="732"/>
    <w:uiPriority w:val="35"/>
    <w:rPr>
      <w:b/>
      <w:bCs/>
      <w:color w:val="4f81bd" w:themeColor="accent1"/>
      <w:sz w:val="18"/>
      <w:szCs w:val="18"/>
    </w:rPr>
  </w:style>
  <w:style w:type="character" w:styleId="697">
    <w:name w:val="Endnote Text Char"/>
    <w:link w:val="861"/>
    <w:uiPriority w:val="99"/>
    <w:rPr>
      <w:sz w:val="20"/>
    </w:rPr>
  </w:style>
  <w:style w:type="paragraph" w:styleId="698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after="0" w:line="240" w:lineRule="auto"/>
    </w:pPr>
  </w:style>
  <w:style w:type="paragraph" w:styleId="721">
    <w:name w:val="Title"/>
    <w:basedOn w:val="698"/>
    <w:next w:val="698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Заголовок Знак"/>
    <w:basedOn w:val="708"/>
    <w:link w:val="721"/>
    <w:uiPriority w:val="10"/>
    <w:rPr>
      <w:sz w:val="48"/>
      <w:szCs w:val="48"/>
    </w:rPr>
  </w:style>
  <w:style w:type="paragraph" w:styleId="723">
    <w:name w:val="Subtitle"/>
    <w:basedOn w:val="698"/>
    <w:next w:val="698"/>
    <w:link w:val="724"/>
    <w:uiPriority w:val="11"/>
    <w:qFormat/>
    <w:pPr>
      <w:spacing w:before="200" w:after="200"/>
    </w:pPr>
  </w:style>
  <w:style w:type="character" w:styleId="724" w:customStyle="1">
    <w:name w:val="Подзаголовок Знак"/>
    <w:basedOn w:val="708"/>
    <w:link w:val="723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paragraph" w:styleId="726">
    <w:name w:val="Intense Quote"/>
    <w:basedOn w:val="698"/>
    <w:next w:val="698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paragraph" w:styleId="728">
    <w:name w:val="Header"/>
    <w:basedOn w:val="698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Верхний колонтитул Знак"/>
    <w:basedOn w:val="708"/>
    <w:link w:val="728"/>
    <w:uiPriority w:val="99"/>
  </w:style>
  <w:style w:type="paragraph" w:styleId="730">
    <w:name w:val="Footer"/>
    <w:basedOn w:val="698"/>
    <w:link w:val="73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1" w:customStyle="1">
    <w:name w:val="Нижний колонтитул Знак"/>
    <w:basedOn w:val="708"/>
    <w:link w:val="730"/>
    <w:uiPriority w:val="99"/>
  </w:style>
  <w:style w:type="paragraph" w:styleId="732">
    <w:name w:val="Caption"/>
    <w:basedOn w:val="698"/>
    <w:next w:val="69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 w:customStyle="1">
    <w:name w:val="Название объекта Знак"/>
    <w:basedOn w:val="708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basedOn w:val="7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Table Grid Light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70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0" w:customStyle="1">
    <w:name w:val="Footnote Text Char"/>
    <w:uiPriority w:val="99"/>
    <w:rPr>
      <w:sz w:val="18"/>
    </w:rPr>
  </w:style>
  <w:style w:type="paragraph" w:styleId="861">
    <w:name w:val="endnote text"/>
    <w:basedOn w:val="698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8"/>
    <w:uiPriority w:val="99"/>
    <w:semiHidden/>
    <w:unhideWhenUsed/>
    <w:rPr>
      <w:vertAlign w:val="superscript"/>
    </w:rPr>
  </w:style>
  <w:style w:type="paragraph" w:styleId="864">
    <w:name w:val="toc 1"/>
    <w:basedOn w:val="698"/>
    <w:next w:val="698"/>
    <w:uiPriority w:val="39"/>
    <w:unhideWhenUsed/>
    <w:pPr>
      <w:ind w:firstLine="0"/>
      <w:spacing w:after="57"/>
    </w:pPr>
  </w:style>
  <w:style w:type="paragraph" w:styleId="865">
    <w:name w:val="toc 2"/>
    <w:basedOn w:val="698"/>
    <w:next w:val="698"/>
    <w:uiPriority w:val="39"/>
    <w:unhideWhenUsed/>
    <w:pPr>
      <w:ind w:left="283" w:firstLine="0"/>
      <w:spacing w:after="57"/>
    </w:pPr>
  </w:style>
  <w:style w:type="paragraph" w:styleId="866">
    <w:name w:val="toc 3"/>
    <w:basedOn w:val="698"/>
    <w:next w:val="698"/>
    <w:uiPriority w:val="39"/>
    <w:unhideWhenUsed/>
    <w:pPr>
      <w:ind w:left="567" w:firstLine="0"/>
      <w:spacing w:after="57"/>
    </w:pPr>
  </w:style>
  <w:style w:type="paragraph" w:styleId="867">
    <w:name w:val="toc 4"/>
    <w:basedOn w:val="698"/>
    <w:next w:val="698"/>
    <w:uiPriority w:val="39"/>
    <w:unhideWhenUsed/>
    <w:pPr>
      <w:ind w:left="850" w:firstLine="0"/>
      <w:spacing w:after="57"/>
    </w:pPr>
  </w:style>
  <w:style w:type="paragraph" w:styleId="868">
    <w:name w:val="toc 5"/>
    <w:basedOn w:val="698"/>
    <w:next w:val="698"/>
    <w:uiPriority w:val="39"/>
    <w:unhideWhenUsed/>
    <w:pPr>
      <w:ind w:left="1134" w:firstLine="0"/>
      <w:spacing w:after="57"/>
    </w:pPr>
  </w:style>
  <w:style w:type="paragraph" w:styleId="869">
    <w:name w:val="toc 6"/>
    <w:basedOn w:val="698"/>
    <w:next w:val="698"/>
    <w:uiPriority w:val="39"/>
    <w:unhideWhenUsed/>
    <w:pPr>
      <w:ind w:left="1417" w:firstLine="0"/>
      <w:spacing w:after="57"/>
    </w:pPr>
  </w:style>
  <w:style w:type="paragraph" w:styleId="870">
    <w:name w:val="toc 7"/>
    <w:basedOn w:val="698"/>
    <w:next w:val="698"/>
    <w:uiPriority w:val="39"/>
    <w:unhideWhenUsed/>
    <w:pPr>
      <w:ind w:left="1701" w:firstLine="0"/>
      <w:spacing w:after="57"/>
    </w:pPr>
  </w:style>
  <w:style w:type="paragraph" w:styleId="871">
    <w:name w:val="toc 8"/>
    <w:basedOn w:val="698"/>
    <w:next w:val="698"/>
    <w:uiPriority w:val="39"/>
    <w:unhideWhenUsed/>
    <w:pPr>
      <w:ind w:left="1984" w:firstLine="0"/>
      <w:spacing w:after="57"/>
    </w:pPr>
  </w:style>
  <w:style w:type="paragraph" w:styleId="872">
    <w:name w:val="toc 9"/>
    <w:basedOn w:val="698"/>
    <w:next w:val="698"/>
    <w:uiPriority w:val="39"/>
    <w:unhideWhenUsed/>
    <w:pPr>
      <w:ind w:left="2268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8"/>
    <w:next w:val="698"/>
    <w:uiPriority w:val="99"/>
    <w:unhideWhenUsed/>
  </w:style>
  <w:style w:type="paragraph" w:styleId="875">
    <w:name w:val="List Paragraph"/>
    <w:basedOn w:val="698"/>
    <w:uiPriority w:val="34"/>
    <w:qFormat/>
    <w:pPr>
      <w:contextualSpacing/>
      <w:ind w:left="720" w:firstLine="0"/>
      <w:jc w:val="left"/>
      <w:spacing w:after="160" w:line="259" w:lineRule="auto"/>
      <w:widowControl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876">
    <w:name w:val="footnote text"/>
    <w:basedOn w:val="698"/>
    <w:link w:val="877"/>
    <w:uiPriority w:val="99"/>
    <w:unhideWhenUsed/>
    <w:pPr>
      <w:ind w:left="2799" w:right="2835" w:hanging="10"/>
      <w:jc w:val="center"/>
      <w:widowControl/>
    </w:pPr>
    <w:rPr>
      <w:rFonts w:ascii="Times New Roman" w:hAnsi="Times New Roman" w:cs="Times New Roman"/>
      <w:b/>
      <w:color w:val="000000"/>
      <w:sz w:val="20"/>
      <w:szCs w:val="20"/>
    </w:rPr>
  </w:style>
  <w:style w:type="character" w:styleId="877" w:customStyle="1">
    <w:name w:val="Текст сноски Знак"/>
    <w:basedOn w:val="708"/>
    <w:link w:val="876"/>
    <w:uiPriority w:val="99"/>
    <w:rPr>
      <w:rFonts w:ascii="Times New Roman" w:hAnsi="Times New Roman" w:eastAsia="Times New Roman" w:cs="Times New Roman"/>
      <w:b/>
      <w:color w:val="000000"/>
      <w:sz w:val="20"/>
      <w:szCs w:val="20"/>
      <w:lang w:eastAsia="ru-RU"/>
    </w:rPr>
  </w:style>
  <w:style w:type="character" w:styleId="878">
    <w:name w:val="footnote reference"/>
    <w:uiPriority w:val="99"/>
    <w:unhideWhenUsed/>
    <w:rPr>
      <w:vertAlign w:val="superscript"/>
    </w:rPr>
  </w:style>
  <w:style w:type="character" w:styleId="879">
    <w:name w:val="Hyperlink"/>
    <w:basedOn w:val="708"/>
    <w:uiPriority w:val="99"/>
    <w:unhideWhenUsed/>
    <w:rPr>
      <w:color w:val="0000ff" w:themeColor="hyperlink"/>
      <w:u w:val="single"/>
    </w:rPr>
  </w:style>
  <w:style w:type="paragraph" w:styleId="880">
    <w:name w:val="Balloon Text"/>
    <w:basedOn w:val="698"/>
    <w:link w:val="881"/>
    <w:uiPriority w:val="99"/>
    <w:semiHidden/>
    <w:unhideWhenUsed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708"/>
    <w:link w:val="88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82" w:customStyle="1">
    <w:name w:val="Гипертекстовая ссылка"/>
    <w:basedOn w:val="708"/>
    <w:uiPriority w:val="99"/>
    <w:rPr>
      <w:rFonts w:cs="Times New Roman"/>
      <w:b w:val="0"/>
      <w:color w:val="106bbe"/>
    </w:rPr>
  </w:style>
  <w:style w:type="character" w:styleId="883">
    <w:name w:val="annotation reference"/>
    <w:basedOn w:val="708"/>
    <w:semiHidden/>
    <w:unhideWhenUsed/>
    <w:rPr>
      <w:sz w:val="16"/>
      <w:szCs w:val="16"/>
    </w:rPr>
  </w:style>
  <w:style w:type="paragraph" w:styleId="884">
    <w:name w:val="annotation text"/>
    <w:basedOn w:val="698"/>
    <w:link w:val="885"/>
    <w:semiHidden/>
    <w:unhideWhenUsed/>
    <w:rPr>
      <w:sz w:val="20"/>
      <w:szCs w:val="20"/>
    </w:rPr>
  </w:style>
  <w:style w:type="character" w:styleId="885" w:customStyle="1">
    <w:name w:val="Текст примечания Знак"/>
    <w:basedOn w:val="708"/>
    <w:link w:val="884"/>
    <w:semiHidden/>
    <w:rPr>
      <w:rFonts w:ascii="Arial" w:hAnsi="Arial" w:eastAsia="Times New Roman" w:cs="Arial"/>
      <w:sz w:val="20"/>
      <w:szCs w:val="20"/>
      <w:lang w:eastAsia="ru-RU"/>
    </w:rPr>
  </w:style>
  <w:style w:type="paragraph" w:styleId="886">
    <w:name w:val="annotation subject"/>
    <w:basedOn w:val="884"/>
    <w:next w:val="884"/>
    <w:link w:val="887"/>
    <w:uiPriority w:val="99"/>
    <w:semiHidden/>
    <w:unhideWhenUsed/>
    <w:rPr>
      <w:b/>
      <w:bCs/>
    </w:rPr>
  </w:style>
  <w:style w:type="character" w:styleId="887" w:customStyle="1">
    <w:name w:val="Тема примечания Знак"/>
    <w:basedOn w:val="885"/>
    <w:link w:val="886"/>
    <w:uiPriority w:val="99"/>
    <w:semiHidden/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88">
    <w:name w:val="Normal (Web)"/>
    <w:basedOn w:val="698"/>
    <w:uiPriority w:val="99"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889">
    <w:name w:val="FollowedHyperlink"/>
    <w:basedOn w:val="708"/>
    <w:uiPriority w:val="99"/>
    <w:semiHidden/>
    <w:unhideWhenUsed/>
    <w:rPr>
      <w:color w:val="800080" w:themeColor="followedHyperlink"/>
      <w:u w:val="single"/>
    </w:rPr>
  </w:style>
  <w:style w:type="paragraph" w:styleId="890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91">
    <w:name w:val="Quote"/>
    <w:basedOn w:val="698"/>
    <w:next w:val="698"/>
    <w:link w:val="892"/>
    <w:uiPriority w:val="29"/>
    <w:qFormat/>
    <w:pPr>
      <w:ind w:left="720" w:right="720" w:firstLine="0"/>
      <w:jc w:val="left"/>
      <w:spacing w:after="160" w:line="259" w:lineRule="auto"/>
      <w:widowControl/>
    </w:pPr>
    <w:rPr>
      <w:rFonts w:asciiTheme="minorHAnsi" w:hAnsiTheme="minorHAnsi" w:eastAsiaTheme="minorHAnsi" w:cstheme="minorBidi"/>
      <w:i/>
      <w:sz w:val="22"/>
      <w:szCs w:val="22"/>
      <w:lang w:eastAsia="en-US"/>
    </w:rPr>
  </w:style>
  <w:style w:type="character" w:styleId="892" w:customStyle="1">
    <w:name w:val="Цитата 2 Знак"/>
    <w:basedOn w:val="708"/>
    <w:link w:val="891"/>
    <w:uiPriority w:val="29"/>
    <w:rPr>
      <w:i/>
    </w:rPr>
  </w:style>
  <w:style w:type="paragraph" w:styleId="893" w:customStyle="1">
    <w:name w:val="docdata"/>
    <w:basedOn w:val="698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ofd.nalog.ru/" TargetMode="External"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image" Target="media/image2.png"/><Relationship Id="rId14" Type="http://schemas.openxmlformats.org/officeDocument/2006/relationships/image" Target="media/media2.svg"/><Relationship Id="rId15" Type="http://schemas.openxmlformats.org/officeDocument/2006/relationships/image" Target="media/image3.png"/><Relationship Id="rId16" Type="http://schemas.openxmlformats.org/officeDocument/2006/relationships/image" Target="media/media3.svg"/><Relationship Id="rId17" Type="http://schemas.openxmlformats.org/officeDocument/2006/relationships/image" Target="media/image4.png"/><Relationship Id="rId18" Type="http://schemas.openxmlformats.org/officeDocument/2006/relationships/hyperlink" Target="https://regionstandard.exportcenter.ru/" TargetMode="External"/><Relationship Id="rId19" Type="http://schemas.openxmlformats.org/officeDocument/2006/relationships/hyperlink" Target="https://regionstandard.exportcent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Харченко Наталья Александровна</dc:creator>
  <cp:lastModifiedBy>esto</cp:lastModifiedBy>
  <cp:revision>21</cp:revision>
  <dcterms:created xsi:type="dcterms:W3CDTF">2025-03-24T11:22:00Z</dcterms:created>
  <dcterms:modified xsi:type="dcterms:W3CDTF">2025-08-15T12:00:44Z</dcterms:modified>
</cp:coreProperties>
</file>